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E7" w:rsidRPr="008C71F7" w:rsidRDefault="006331E7" w:rsidP="00D4404D">
      <w:pPr>
        <w:widowControl w:val="0"/>
        <w:tabs>
          <w:tab w:val="center" w:pos="4153"/>
          <w:tab w:val="right" w:pos="8306"/>
        </w:tabs>
        <w:spacing w:after="120" w:line="360" w:lineRule="auto"/>
        <w:jc w:val="center"/>
        <w:rPr>
          <w:rFonts w:ascii="David" w:eastAsia="Calibri" w:hAnsi="David" w:cs="David"/>
          <w:b/>
          <w:bCs/>
          <w:sz w:val="24"/>
          <w:szCs w:val="24"/>
          <w:rtl/>
        </w:rPr>
      </w:pPr>
      <w:bookmarkStart w:id="0" w:name="_GoBack"/>
      <w:bookmarkEnd w:id="0"/>
      <w:r w:rsidRPr="008C71F7">
        <w:rPr>
          <w:rFonts w:ascii="David" w:eastAsia="Calibri" w:hAnsi="David" w:cs="David"/>
          <w:noProof/>
          <w:sz w:val="24"/>
          <w:szCs w:val="24"/>
        </w:rPr>
        <w:drawing>
          <wp:inline distT="0" distB="0" distL="0" distR="0" wp14:anchorId="07FBEF9F" wp14:editId="6724688C">
            <wp:extent cx="726440" cy="626110"/>
            <wp:effectExtent l="0" t="0" r="0" b="2540"/>
            <wp:docPr id="1" name="תמונה 1" descr="C:\Users\hp\drive\משפטים\שנה ג\משפט מבוים\לוגו סופי\L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hp\drive\משפטים\שנה ג\משפט מבוים\לוגו סופי\L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 cy="626110"/>
                    </a:xfrm>
                    <a:prstGeom prst="rect">
                      <a:avLst/>
                    </a:prstGeom>
                    <a:noFill/>
                    <a:ln>
                      <a:noFill/>
                    </a:ln>
                  </pic:spPr>
                </pic:pic>
              </a:graphicData>
            </a:graphic>
          </wp:inline>
        </w:drawing>
      </w:r>
    </w:p>
    <w:p w:rsidR="006331E7" w:rsidRPr="007747BE" w:rsidRDefault="006331E7" w:rsidP="00D4404D">
      <w:pPr>
        <w:widowControl w:val="0"/>
        <w:tabs>
          <w:tab w:val="center" w:pos="4153"/>
          <w:tab w:val="right" w:pos="8306"/>
        </w:tabs>
        <w:spacing w:after="120" w:line="360" w:lineRule="auto"/>
        <w:jc w:val="center"/>
        <w:rPr>
          <w:rFonts w:ascii="David" w:eastAsia="Calibri" w:hAnsi="David" w:cs="David"/>
          <w:b/>
          <w:bCs/>
          <w:sz w:val="28"/>
          <w:szCs w:val="28"/>
        </w:rPr>
      </w:pPr>
      <w:r w:rsidRPr="007747BE">
        <w:rPr>
          <w:rFonts w:ascii="David" w:eastAsia="Calibri" w:hAnsi="David" w:cs="David"/>
          <w:b/>
          <w:bCs/>
          <w:sz w:val="28"/>
          <w:szCs w:val="28"/>
          <w:rtl/>
        </w:rPr>
        <w:t xml:space="preserve">הפקולטה למשפטים באוניברסיטה העברית בירושלים  </w:t>
      </w:r>
    </w:p>
    <w:p w:rsidR="006331E7" w:rsidRPr="007747BE" w:rsidRDefault="006331E7" w:rsidP="00D4404D">
      <w:pPr>
        <w:widowControl w:val="0"/>
        <w:tabs>
          <w:tab w:val="center" w:pos="4153"/>
          <w:tab w:val="right" w:pos="8306"/>
        </w:tabs>
        <w:spacing w:after="120" w:line="360" w:lineRule="auto"/>
        <w:jc w:val="center"/>
        <w:rPr>
          <w:rFonts w:ascii="David" w:eastAsia="Calibri" w:hAnsi="David" w:cs="David"/>
          <w:b/>
          <w:bCs/>
          <w:sz w:val="28"/>
          <w:szCs w:val="28"/>
          <w:rtl/>
        </w:rPr>
      </w:pPr>
      <w:r w:rsidRPr="007747BE">
        <w:rPr>
          <w:rFonts w:ascii="David" w:eastAsia="Calibri" w:hAnsi="David" w:cs="David"/>
          <w:b/>
          <w:bCs/>
          <w:sz w:val="28"/>
          <w:szCs w:val="28"/>
          <w:rtl/>
        </w:rPr>
        <w:t>סדנת המשפט המבוים</w:t>
      </w:r>
    </w:p>
    <w:p w:rsidR="00AC7A7E" w:rsidRPr="007747BE" w:rsidRDefault="006331E7" w:rsidP="00D4404D">
      <w:pPr>
        <w:widowControl w:val="0"/>
        <w:tabs>
          <w:tab w:val="center" w:pos="4153"/>
          <w:tab w:val="right" w:pos="8306"/>
        </w:tabs>
        <w:spacing w:after="120" w:line="360" w:lineRule="auto"/>
        <w:jc w:val="center"/>
        <w:rPr>
          <w:rFonts w:ascii="David" w:eastAsia="Calibri" w:hAnsi="David" w:cs="David"/>
          <w:b/>
          <w:bCs/>
          <w:sz w:val="28"/>
          <w:szCs w:val="28"/>
          <w:rtl/>
        </w:rPr>
      </w:pPr>
      <w:r w:rsidRPr="007747BE">
        <w:rPr>
          <w:rFonts w:ascii="David" w:eastAsia="Calibri" w:hAnsi="David" w:cs="David"/>
          <w:b/>
          <w:bCs/>
          <w:sz w:val="28"/>
          <w:szCs w:val="28"/>
          <w:rtl/>
        </w:rPr>
        <w:t>סמסטר ב' תשע"ז-2017</w:t>
      </w:r>
    </w:p>
    <w:p w:rsidR="006331E7" w:rsidRPr="007747BE" w:rsidRDefault="00F72E07" w:rsidP="00FF607B">
      <w:pPr>
        <w:widowControl w:val="0"/>
        <w:tabs>
          <w:tab w:val="center" w:pos="4153"/>
          <w:tab w:val="right" w:pos="8306"/>
        </w:tabs>
        <w:spacing w:after="120" w:line="360" w:lineRule="auto"/>
        <w:jc w:val="center"/>
        <w:rPr>
          <w:rFonts w:ascii="David" w:eastAsia="Calibri" w:hAnsi="David" w:cs="David"/>
          <w:sz w:val="28"/>
          <w:szCs w:val="28"/>
          <w:u w:val="single"/>
          <w:rtl/>
        </w:rPr>
      </w:pPr>
      <w:r w:rsidRPr="007747BE">
        <w:rPr>
          <w:rFonts w:ascii="David" w:eastAsia="Calibri" w:hAnsi="David" w:cs="David" w:hint="cs"/>
          <w:sz w:val="28"/>
          <w:szCs w:val="28"/>
          <w:u w:val="single"/>
          <w:rtl/>
        </w:rPr>
        <w:t>אירוע</w:t>
      </w:r>
    </w:p>
    <w:p w:rsidR="00B24400" w:rsidRPr="007747BE" w:rsidRDefault="00B24400" w:rsidP="00D4404D">
      <w:pPr>
        <w:widowControl w:val="0"/>
        <w:tabs>
          <w:tab w:val="center" w:pos="4153"/>
          <w:tab w:val="right" w:pos="8306"/>
        </w:tabs>
        <w:spacing w:after="120" w:line="360" w:lineRule="auto"/>
        <w:jc w:val="both"/>
        <w:rPr>
          <w:rFonts w:ascii="David" w:eastAsia="Calibri" w:hAnsi="David" w:cs="David"/>
          <w:sz w:val="28"/>
          <w:szCs w:val="28"/>
          <w:u w:val="single"/>
          <w:rtl/>
        </w:rPr>
      </w:pPr>
      <w:r w:rsidRPr="007747BE">
        <w:rPr>
          <w:rFonts w:ascii="David" w:eastAsia="Calibri" w:hAnsi="David" w:cs="David"/>
          <w:sz w:val="28"/>
          <w:szCs w:val="28"/>
          <w:u w:val="single"/>
          <w:rtl/>
        </w:rPr>
        <w:t>רקע</w:t>
      </w:r>
    </w:p>
    <w:p w:rsidR="00125568" w:rsidRDefault="008D1055" w:rsidP="00D4404D">
      <w:pPr>
        <w:widowControl w:val="0"/>
        <w:tabs>
          <w:tab w:val="center" w:pos="4153"/>
          <w:tab w:val="right" w:pos="8306"/>
        </w:tabs>
        <w:spacing w:after="120" w:line="360" w:lineRule="auto"/>
        <w:jc w:val="both"/>
        <w:rPr>
          <w:rFonts w:ascii="David" w:eastAsia="Calibri" w:hAnsi="David" w:cs="David"/>
          <w:sz w:val="24"/>
          <w:szCs w:val="24"/>
          <w:rtl/>
        </w:rPr>
      </w:pPr>
      <w:r w:rsidRPr="008C71F7">
        <w:rPr>
          <w:rFonts w:ascii="David" w:eastAsia="Calibri" w:hAnsi="David" w:cs="David"/>
          <w:sz w:val="24"/>
          <w:szCs w:val="24"/>
          <w:rtl/>
        </w:rPr>
        <w:t xml:space="preserve">המערכת הפיננסית במדינת </w:t>
      </w:r>
      <w:r w:rsidR="00D6219F">
        <w:rPr>
          <w:rFonts w:ascii="David" w:eastAsia="Calibri" w:hAnsi="David" w:cs="David" w:hint="cs"/>
          <w:sz w:val="24"/>
          <w:szCs w:val="24"/>
          <w:rtl/>
        </w:rPr>
        <w:t>ישראל</w:t>
      </w:r>
      <w:r w:rsidR="00F72E07">
        <w:rPr>
          <w:rFonts w:ascii="David" w:eastAsia="Calibri" w:hAnsi="David" w:cs="David" w:hint="cs"/>
          <w:sz w:val="24"/>
          <w:szCs w:val="24"/>
          <w:rtl/>
        </w:rPr>
        <w:t xml:space="preserve"> </w:t>
      </w:r>
      <w:r w:rsidR="00B24400" w:rsidRPr="008C71F7">
        <w:rPr>
          <w:rFonts w:ascii="David" w:eastAsia="Calibri" w:hAnsi="David" w:cs="David"/>
          <w:sz w:val="24"/>
          <w:szCs w:val="24"/>
          <w:rtl/>
        </w:rPr>
        <w:t>נחשבת למפותחת והנגישות של משקי בית</w:t>
      </w:r>
      <w:r w:rsidR="00F0571E" w:rsidRPr="008C71F7">
        <w:rPr>
          <w:rFonts w:ascii="David" w:eastAsia="Calibri" w:hAnsi="David" w:cs="David"/>
          <w:sz w:val="24"/>
          <w:szCs w:val="24"/>
          <w:rtl/>
        </w:rPr>
        <w:t xml:space="preserve"> בה</w:t>
      </w:r>
      <w:r w:rsidR="00B24400" w:rsidRPr="008C71F7">
        <w:rPr>
          <w:rFonts w:ascii="David" w:eastAsia="Calibri" w:hAnsi="David" w:cs="David"/>
          <w:sz w:val="24"/>
          <w:szCs w:val="24"/>
          <w:rtl/>
        </w:rPr>
        <w:t xml:space="preserve"> למוסדות פיננסיים גבוהה ודומה ברמתה למדינות אחרות בעולם.</w:t>
      </w:r>
      <w:r w:rsidR="00A01168" w:rsidRPr="008C71F7">
        <w:rPr>
          <w:rFonts w:ascii="David" w:eastAsia="Calibri" w:hAnsi="David" w:cs="David"/>
          <w:sz w:val="24"/>
          <w:szCs w:val="24"/>
          <w:rtl/>
        </w:rPr>
        <w:t xml:space="preserve"> רובם המוחלט של משקי הבית</w:t>
      </w:r>
      <w:r w:rsidR="007A7C06" w:rsidRPr="008C71F7">
        <w:rPr>
          <w:rFonts w:ascii="David" w:eastAsia="Calibri" w:hAnsi="David" w:cs="David"/>
          <w:sz w:val="24"/>
          <w:szCs w:val="24"/>
          <w:rtl/>
        </w:rPr>
        <w:t xml:space="preserve"> ועסקים קטנים ובינוניים (להלן: "</w:t>
      </w:r>
      <w:r w:rsidR="007A7C06" w:rsidRPr="008C71F7">
        <w:rPr>
          <w:rFonts w:ascii="David" w:eastAsia="Calibri" w:hAnsi="David" w:cs="David"/>
          <w:b/>
          <w:bCs/>
          <w:sz w:val="24"/>
          <w:szCs w:val="24"/>
          <w:rtl/>
        </w:rPr>
        <w:t>המגזר הקמעונאי</w:t>
      </w:r>
      <w:r w:rsidR="007A7C06" w:rsidRPr="008C71F7">
        <w:rPr>
          <w:rFonts w:ascii="David" w:eastAsia="Calibri" w:hAnsi="David" w:cs="David"/>
          <w:sz w:val="24"/>
          <w:szCs w:val="24"/>
          <w:rtl/>
        </w:rPr>
        <w:t>")</w:t>
      </w:r>
      <w:r w:rsidR="00A01168" w:rsidRPr="008C71F7">
        <w:rPr>
          <w:rFonts w:ascii="David" w:eastAsia="Calibri" w:hAnsi="David" w:cs="David"/>
          <w:sz w:val="24"/>
          <w:szCs w:val="24"/>
          <w:rtl/>
        </w:rPr>
        <w:t xml:space="preserve"> ב</w:t>
      </w:r>
      <w:r w:rsidR="00D6219F">
        <w:rPr>
          <w:rFonts w:ascii="David" w:eastAsia="Calibri" w:hAnsi="David" w:cs="David" w:hint="cs"/>
          <w:sz w:val="24"/>
          <w:szCs w:val="24"/>
          <w:rtl/>
        </w:rPr>
        <w:t>ישראל</w:t>
      </w:r>
      <w:r w:rsidR="00B24400" w:rsidRPr="008C71F7">
        <w:rPr>
          <w:rFonts w:ascii="David" w:eastAsia="Calibri" w:hAnsi="David" w:cs="David"/>
          <w:sz w:val="24"/>
          <w:szCs w:val="24"/>
          <w:rtl/>
        </w:rPr>
        <w:t xml:space="preserve"> עושים שימוש במוסדות פיננסיים – בין אם על דרך ניהול חשבון עובר ושב, אחזקת כרטיסי אשראי, חיסכון או נטילת אשראי. המערכת הבנקאית ב</w:t>
      </w:r>
      <w:r w:rsidR="00D6219F">
        <w:rPr>
          <w:rFonts w:ascii="David" w:eastAsia="Calibri" w:hAnsi="David" w:cs="David" w:hint="cs"/>
          <w:sz w:val="24"/>
          <w:szCs w:val="24"/>
          <w:rtl/>
        </w:rPr>
        <w:t>ישראל</w:t>
      </w:r>
      <w:r w:rsidR="00B24400" w:rsidRPr="008C71F7">
        <w:rPr>
          <w:rFonts w:ascii="David" w:eastAsia="Calibri" w:hAnsi="David" w:cs="David"/>
          <w:sz w:val="24"/>
          <w:szCs w:val="24"/>
          <w:rtl/>
        </w:rPr>
        <w:t xml:space="preserve"> מתאפיינת בריכוזיות גבוהה ומורכבת בעיקרה מחמש קבוצות בנקאיות ושלושה בנקים עצמאיים בלבד. </w:t>
      </w:r>
      <w:r w:rsidR="00C304E4" w:rsidRPr="008C71F7">
        <w:rPr>
          <w:rFonts w:ascii="David" w:eastAsia="Calibri" w:hAnsi="David" w:cs="David"/>
          <w:sz w:val="24"/>
          <w:szCs w:val="24"/>
          <w:rtl/>
        </w:rPr>
        <w:t xml:space="preserve">היקף </w:t>
      </w:r>
      <w:r w:rsidR="007A7C06" w:rsidRPr="008C71F7">
        <w:rPr>
          <w:rFonts w:ascii="David" w:eastAsia="Calibri" w:hAnsi="David" w:cs="David"/>
          <w:sz w:val="24"/>
          <w:szCs w:val="24"/>
          <w:rtl/>
        </w:rPr>
        <w:t>האשראי למגזר הקמעונאי</w:t>
      </w:r>
      <w:r w:rsidR="00C304E4" w:rsidRPr="008C71F7">
        <w:rPr>
          <w:rFonts w:ascii="David" w:eastAsia="Calibri" w:hAnsi="David" w:cs="David"/>
          <w:sz w:val="24"/>
          <w:szCs w:val="24"/>
          <w:rtl/>
        </w:rPr>
        <w:t xml:space="preserve"> גדל באופן משמעותי לאורך השנים ונכון לחודש דצמבר 2014 עמד על כ-</w:t>
      </w:r>
      <w:r w:rsidR="002B3A78" w:rsidRPr="008C71F7">
        <w:rPr>
          <w:rFonts w:ascii="David" w:eastAsia="Calibri" w:hAnsi="David" w:cs="David"/>
          <w:sz w:val="24"/>
          <w:szCs w:val="24"/>
          <w:rtl/>
        </w:rPr>
        <w:t>434</w:t>
      </w:r>
      <w:r w:rsidR="00B24400" w:rsidRPr="008C71F7">
        <w:rPr>
          <w:rFonts w:ascii="David" w:eastAsia="Calibri" w:hAnsi="David" w:cs="David"/>
          <w:sz w:val="24"/>
          <w:szCs w:val="24"/>
          <w:rtl/>
        </w:rPr>
        <w:t xml:space="preserve"> </w:t>
      </w:r>
      <w:r w:rsidR="00C304E4" w:rsidRPr="008C71F7">
        <w:rPr>
          <w:rFonts w:ascii="David" w:eastAsia="Calibri" w:hAnsi="David" w:cs="David"/>
          <w:sz w:val="24"/>
          <w:szCs w:val="24"/>
          <w:rtl/>
        </w:rPr>
        <w:t xml:space="preserve">מיליארד ש"ח, כאשר </w:t>
      </w:r>
      <w:r w:rsidR="002B3A78" w:rsidRPr="008C71F7">
        <w:rPr>
          <w:rFonts w:ascii="David" w:eastAsia="Calibri" w:hAnsi="David" w:cs="David"/>
          <w:sz w:val="24"/>
          <w:szCs w:val="24"/>
          <w:rtl/>
        </w:rPr>
        <w:t>135</w:t>
      </w:r>
      <w:r w:rsidR="00C304E4" w:rsidRPr="008C71F7">
        <w:rPr>
          <w:rFonts w:ascii="David" w:eastAsia="Calibri" w:hAnsi="David" w:cs="David"/>
          <w:sz w:val="24"/>
          <w:szCs w:val="24"/>
          <w:rtl/>
        </w:rPr>
        <w:t xml:space="preserve"> מיליארד ש"ח </w:t>
      </w:r>
      <w:r w:rsidR="007A7C06" w:rsidRPr="008C71F7">
        <w:rPr>
          <w:rFonts w:ascii="David" w:eastAsia="Calibri" w:hAnsi="David" w:cs="David"/>
          <w:sz w:val="24"/>
          <w:szCs w:val="24"/>
          <w:rtl/>
        </w:rPr>
        <w:t>מתוך סכום זה הוקצה לאשראי שלא למטרות</w:t>
      </w:r>
      <w:r w:rsidR="00C304E4" w:rsidRPr="008C71F7">
        <w:rPr>
          <w:rFonts w:ascii="David" w:eastAsia="Calibri" w:hAnsi="David" w:cs="David"/>
          <w:sz w:val="24"/>
          <w:szCs w:val="24"/>
          <w:rtl/>
        </w:rPr>
        <w:t xml:space="preserve"> דיור והיתרה (כ-300 מיליארד ש"ח) הוקצה למשכנתאות. המע</w:t>
      </w:r>
      <w:r w:rsidR="00E4707C" w:rsidRPr="008C71F7">
        <w:rPr>
          <w:rFonts w:ascii="David" w:eastAsia="Calibri" w:hAnsi="David" w:cs="David"/>
          <w:sz w:val="24"/>
          <w:szCs w:val="24"/>
          <w:rtl/>
        </w:rPr>
        <w:t xml:space="preserve">רכת הבנקאית הריכוזית היא </w:t>
      </w:r>
      <w:r w:rsidR="00C304E4" w:rsidRPr="008C71F7">
        <w:rPr>
          <w:rFonts w:ascii="David" w:eastAsia="Calibri" w:hAnsi="David" w:cs="David"/>
          <w:sz w:val="24"/>
          <w:szCs w:val="24"/>
          <w:rtl/>
        </w:rPr>
        <w:t>ספקית האשראי הדומי</w:t>
      </w:r>
      <w:r w:rsidR="002B3A78" w:rsidRPr="008C71F7">
        <w:rPr>
          <w:rFonts w:ascii="David" w:eastAsia="Calibri" w:hAnsi="David" w:cs="David"/>
          <w:sz w:val="24"/>
          <w:szCs w:val="24"/>
          <w:rtl/>
        </w:rPr>
        <w:t xml:space="preserve">ננטית לאורך השנים ופועלת </w:t>
      </w:r>
      <w:r w:rsidR="00C304E4" w:rsidRPr="008C71F7">
        <w:rPr>
          <w:rFonts w:ascii="David" w:eastAsia="Calibri" w:hAnsi="David" w:cs="David"/>
          <w:sz w:val="24"/>
          <w:szCs w:val="24"/>
          <w:rtl/>
        </w:rPr>
        <w:t xml:space="preserve">ללא איום משמעותי מצד גופים חוץ בנקאיים אחרים. </w:t>
      </w:r>
      <w:r w:rsidR="00F0571E" w:rsidRPr="008C71F7">
        <w:rPr>
          <w:rFonts w:ascii="David" w:eastAsia="Calibri" w:hAnsi="David" w:cs="David"/>
          <w:sz w:val="24"/>
          <w:szCs w:val="24"/>
          <w:rtl/>
        </w:rPr>
        <w:t>עם זאת, חלקן של חברות כרטיסי האשראי מס</w:t>
      </w:r>
      <w:r w:rsidR="007A7C06" w:rsidRPr="008C71F7">
        <w:rPr>
          <w:rFonts w:ascii="David" w:eastAsia="Calibri" w:hAnsi="David" w:cs="David"/>
          <w:sz w:val="24"/>
          <w:szCs w:val="24"/>
          <w:rtl/>
        </w:rPr>
        <w:t>ך אשראי שלא לדיור עבור המגזר הקמעונאי</w:t>
      </w:r>
      <w:r w:rsidR="00F0571E" w:rsidRPr="008C71F7">
        <w:rPr>
          <w:rFonts w:ascii="David" w:eastAsia="Calibri" w:hAnsi="David" w:cs="David"/>
          <w:sz w:val="24"/>
          <w:szCs w:val="24"/>
          <w:rtl/>
        </w:rPr>
        <w:t xml:space="preserve"> עולה באיטיות אך בהתמדה ונכון לחודש דצמבר 2014 מהווה כ-9% מכלל אשראי זה. </w:t>
      </w:r>
    </w:p>
    <w:p w:rsidR="009F62F7" w:rsidRDefault="001A7FDC" w:rsidP="00D4404D">
      <w:pPr>
        <w:widowControl w:val="0"/>
        <w:tabs>
          <w:tab w:val="center" w:pos="4153"/>
          <w:tab w:val="right" w:pos="8306"/>
        </w:tabs>
        <w:spacing w:after="120" w:line="360" w:lineRule="auto"/>
        <w:jc w:val="both"/>
        <w:rPr>
          <w:rFonts w:ascii="David" w:eastAsia="Calibri" w:hAnsi="David" w:cs="David"/>
          <w:sz w:val="24"/>
          <w:szCs w:val="24"/>
          <w:rtl/>
        </w:rPr>
      </w:pPr>
      <w:r w:rsidRPr="008C71F7">
        <w:rPr>
          <w:rFonts w:ascii="David" w:eastAsia="Calibri" w:hAnsi="David" w:cs="David"/>
          <w:sz w:val="24"/>
          <w:szCs w:val="24"/>
          <w:rtl/>
        </w:rPr>
        <w:t>מ</w:t>
      </w:r>
      <w:r w:rsidR="00F0571E" w:rsidRPr="008C71F7">
        <w:rPr>
          <w:rFonts w:ascii="David" w:eastAsia="Calibri" w:hAnsi="David" w:cs="David"/>
          <w:sz w:val="24"/>
          <w:szCs w:val="24"/>
          <w:rtl/>
        </w:rPr>
        <w:t>ממצאים אמפירי</w:t>
      </w:r>
      <w:r w:rsidR="00986A5C" w:rsidRPr="008C71F7">
        <w:rPr>
          <w:rFonts w:ascii="David" w:eastAsia="Calibri" w:hAnsi="David" w:cs="David"/>
          <w:sz w:val="24"/>
          <w:szCs w:val="24"/>
          <w:rtl/>
        </w:rPr>
        <w:t xml:space="preserve">ים שפרסם </w:t>
      </w:r>
      <w:r w:rsidR="00125568">
        <w:rPr>
          <w:rFonts w:ascii="David" w:eastAsia="Calibri" w:hAnsi="David" w:cs="David" w:hint="cs"/>
          <w:sz w:val="24"/>
          <w:szCs w:val="24"/>
          <w:rtl/>
        </w:rPr>
        <w:t xml:space="preserve">בנק ישראל </w:t>
      </w:r>
      <w:r w:rsidRPr="008C71F7">
        <w:rPr>
          <w:rFonts w:ascii="David" w:eastAsia="Calibri" w:hAnsi="David" w:cs="David"/>
          <w:sz w:val="24"/>
          <w:szCs w:val="24"/>
          <w:rtl/>
        </w:rPr>
        <w:t>עולה כי על אף הגידול באשראי הקמעונאי לאורך השנים והתרחבות חלקם היחסי של חברות כרטיסי האשראי בתחום, היקף האשראי הנצרך על ידי</w:t>
      </w:r>
      <w:r w:rsidR="007A7C06" w:rsidRPr="008C71F7">
        <w:rPr>
          <w:rFonts w:ascii="David" w:eastAsia="Calibri" w:hAnsi="David" w:cs="David"/>
          <w:sz w:val="24"/>
          <w:szCs w:val="24"/>
          <w:rtl/>
        </w:rPr>
        <w:t xml:space="preserve"> המגזר הקמעונאי</w:t>
      </w:r>
      <w:r w:rsidRPr="008C71F7">
        <w:rPr>
          <w:rFonts w:ascii="David" w:eastAsia="Calibri" w:hAnsi="David" w:cs="David"/>
          <w:sz w:val="24"/>
          <w:szCs w:val="24"/>
          <w:rtl/>
        </w:rPr>
        <w:t xml:space="preserve"> נותר נמוך יחסית בהשוואה לקיים בארצות הברית ובאירופה. </w:t>
      </w:r>
      <w:r w:rsidR="00317655" w:rsidRPr="008C71F7">
        <w:rPr>
          <w:rFonts w:ascii="David" w:eastAsia="Calibri" w:hAnsi="David" w:cs="David"/>
          <w:sz w:val="24"/>
          <w:szCs w:val="24"/>
          <w:rtl/>
        </w:rPr>
        <w:t>התחרות הנמוכה במערכת הבנקאית גורמת</w:t>
      </w:r>
      <w:r w:rsidR="002B3A78" w:rsidRPr="008C71F7">
        <w:rPr>
          <w:rFonts w:ascii="David" w:eastAsia="Calibri" w:hAnsi="David" w:cs="David"/>
          <w:sz w:val="24"/>
          <w:szCs w:val="24"/>
          <w:rtl/>
        </w:rPr>
        <w:t xml:space="preserve"> בין היתר</w:t>
      </w:r>
      <w:r w:rsidR="007A7C06" w:rsidRPr="008C71F7">
        <w:rPr>
          <w:rFonts w:ascii="David" w:eastAsia="Calibri" w:hAnsi="David" w:cs="David"/>
          <w:sz w:val="24"/>
          <w:szCs w:val="24"/>
          <w:rtl/>
        </w:rPr>
        <w:t xml:space="preserve"> לכך שהמגזר הקמעונאי נאלץ</w:t>
      </w:r>
      <w:r w:rsidR="002B3A78" w:rsidRPr="008C71F7">
        <w:rPr>
          <w:rFonts w:ascii="David" w:eastAsia="Calibri" w:hAnsi="David" w:cs="David"/>
          <w:sz w:val="24"/>
          <w:szCs w:val="24"/>
          <w:rtl/>
        </w:rPr>
        <w:t xml:space="preserve"> לשלם</w:t>
      </w:r>
      <w:r w:rsidR="00317655" w:rsidRPr="008C71F7">
        <w:rPr>
          <w:rFonts w:ascii="David" w:eastAsia="Calibri" w:hAnsi="David" w:cs="David"/>
          <w:sz w:val="24"/>
          <w:szCs w:val="24"/>
          <w:rtl/>
        </w:rPr>
        <w:t xml:space="preserve"> מחירים גבוהים עבור מוצרי אשראי וחלקים שונים </w:t>
      </w:r>
      <w:r w:rsidR="007A7C06" w:rsidRPr="008C71F7">
        <w:rPr>
          <w:rFonts w:ascii="David" w:eastAsia="Calibri" w:hAnsi="David" w:cs="David"/>
          <w:sz w:val="24"/>
          <w:szCs w:val="24"/>
          <w:rtl/>
        </w:rPr>
        <w:t>ממשקי הבית</w:t>
      </w:r>
      <w:r w:rsidR="00317655" w:rsidRPr="008C71F7">
        <w:rPr>
          <w:rFonts w:ascii="David" w:eastAsia="Calibri" w:hAnsi="David" w:cs="David"/>
          <w:sz w:val="24"/>
          <w:szCs w:val="24"/>
          <w:rtl/>
        </w:rPr>
        <w:t xml:space="preserve"> עלולים להיות מודרים מקבלת אשראי או שירותים אחרים. </w:t>
      </w:r>
      <w:r w:rsidR="007A7C06" w:rsidRPr="008C71F7">
        <w:rPr>
          <w:rFonts w:ascii="David" w:eastAsia="Calibri" w:hAnsi="David" w:cs="David"/>
          <w:sz w:val="24"/>
          <w:szCs w:val="24"/>
          <w:rtl/>
        </w:rPr>
        <w:t>בהקשר זה, נמצא כי אחד החסמים המרכזיים להתפתחות התחרות באשראי עבור המגזר הקמעונאי הוא היעדרו של מידע מלא אודות היסטוריית האשראי של הלקוחות</w:t>
      </w:r>
      <w:r w:rsidR="0052141D">
        <w:rPr>
          <w:rFonts w:ascii="David" w:eastAsia="Calibri" w:hAnsi="David" w:cs="David" w:hint="cs"/>
          <w:sz w:val="24"/>
          <w:szCs w:val="24"/>
          <w:rtl/>
        </w:rPr>
        <w:t xml:space="preserve">. </w:t>
      </w:r>
      <w:r w:rsidR="00E878CA">
        <w:rPr>
          <w:rFonts w:ascii="David" w:eastAsia="Calibri" w:hAnsi="David" w:cs="David" w:hint="cs"/>
          <w:sz w:val="24"/>
          <w:szCs w:val="24"/>
          <w:rtl/>
        </w:rPr>
        <w:t xml:space="preserve">מחקרים מצביעים על כך שלמערכת שיתוף בנתוני אשראי יתרונות כלכליים מובהקים. שיתוף בנתוני אשראי עשוי להביא לתנאי אשראי טובים יותר ועם שיעורי חדלות פירעון נמוכים יותר. זאת ועוד, מידע שוטף אודות נתוני אשראי של כלל הלקוחות במדינה יאפשר לזהות בצורה טובה יותר סיכונים ליציבות המערכת הבנקאית בכללותה. </w:t>
      </w:r>
    </w:p>
    <w:p w:rsidR="009F62F7" w:rsidRDefault="0052141D" w:rsidP="00D4404D">
      <w:pPr>
        <w:widowControl w:val="0"/>
        <w:tabs>
          <w:tab w:val="center" w:pos="4153"/>
          <w:tab w:val="right" w:pos="8306"/>
        </w:tabs>
        <w:spacing w:after="120" w:line="360" w:lineRule="auto"/>
        <w:jc w:val="both"/>
        <w:rPr>
          <w:rFonts w:ascii="David" w:eastAsia="Calibri" w:hAnsi="David" w:cs="David"/>
          <w:sz w:val="24"/>
          <w:szCs w:val="24"/>
          <w:rtl/>
        </w:rPr>
      </w:pPr>
      <w:r>
        <w:rPr>
          <w:rFonts w:ascii="David" w:eastAsia="Calibri" w:hAnsi="David" w:cs="David" w:hint="cs"/>
          <w:sz w:val="24"/>
          <w:szCs w:val="24"/>
          <w:rtl/>
        </w:rPr>
        <w:t xml:space="preserve">לשם השוואה, </w:t>
      </w:r>
      <w:r w:rsidRPr="007515DF">
        <w:rPr>
          <w:rFonts w:ascii="David" w:eastAsia="Calibri" w:hAnsi="David" w:cs="David" w:hint="cs"/>
          <w:b/>
          <w:bCs/>
          <w:sz w:val="24"/>
          <w:szCs w:val="24"/>
          <w:rtl/>
        </w:rPr>
        <w:t>ארצות הברית</w:t>
      </w:r>
      <w:r>
        <w:rPr>
          <w:rFonts w:ascii="David" w:eastAsia="Calibri" w:hAnsi="David" w:cs="David" w:hint="cs"/>
          <w:sz w:val="24"/>
          <w:szCs w:val="24"/>
          <w:rtl/>
        </w:rPr>
        <w:t xml:space="preserve"> הייתה בין המדינות הראשונות בעולם שבהן </w:t>
      </w:r>
      <w:r w:rsidR="00E878CA">
        <w:rPr>
          <w:rFonts w:ascii="David" w:eastAsia="Calibri" w:hAnsi="David" w:cs="David" w:hint="cs"/>
          <w:sz w:val="24"/>
          <w:szCs w:val="24"/>
          <w:rtl/>
        </w:rPr>
        <w:t>היו קיימים</w:t>
      </w:r>
      <w:r>
        <w:rPr>
          <w:rFonts w:ascii="David" w:eastAsia="Calibri" w:hAnsi="David" w:cs="David" w:hint="cs"/>
          <w:sz w:val="24"/>
          <w:szCs w:val="24"/>
          <w:rtl/>
        </w:rPr>
        <w:t xml:space="preserve"> הסדרים רחבים של איסוף, דירוג וסחר בנתוני אשראי של אזרחי המדינה. ההסדרים הקיימים שם מאפשרים איסוף לא רק של </w:t>
      </w:r>
      <w:r w:rsidRPr="008C71F7">
        <w:rPr>
          <w:rFonts w:ascii="David" w:eastAsia="Calibri" w:hAnsi="David" w:cs="David"/>
          <w:sz w:val="24"/>
          <w:szCs w:val="24"/>
          <w:rtl/>
        </w:rPr>
        <w:t>"</w:t>
      </w:r>
      <w:r w:rsidRPr="008C71F7">
        <w:rPr>
          <w:rFonts w:ascii="David" w:eastAsia="Calibri" w:hAnsi="David" w:cs="David"/>
          <w:b/>
          <w:bCs/>
          <w:sz w:val="24"/>
          <w:szCs w:val="24"/>
          <w:rtl/>
        </w:rPr>
        <w:t>מידע שלילי</w:t>
      </w:r>
      <w:r w:rsidR="00B73390">
        <w:rPr>
          <w:rFonts w:ascii="David" w:eastAsia="Calibri" w:hAnsi="David" w:cs="David" w:hint="cs"/>
          <w:b/>
          <w:bCs/>
          <w:sz w:val="24"/>
          <w:szCs w:val="24"/>
          <w:rtl/>
        </w:rPr>
        <w:t>"</w:t>
      </w:r>
      <w:r w:rsidRPr="008C71F7">
        <w:rPr>
          <w:rFonts w:ascii="David" w:eastAsia="Calibri" w:hAnsi="David" w:cs="David"/>
          <w:sz w:val="24"/>
          <w:szCs w:val="24"/>
          <w:rtl/>
        </w:rPr>
        <w:t xml:space="preserve"> (כגון: מידע על כינוס נכסים או פשיטות רגל) אלא גם "</w:t>
      </w:r>
      <w:r w:rsidRPr="008C71F7">
        <w:rPr>
          <w:rFonts w:ascii="David" w:eastAsia="Calibri" w:hAnsi="David" w:cs="David"/>
          <w:b/>
          <w:bCs/>
          <w:sz w:val="24"/>
          <w:szCs w:val="24"/>
          <w:rtl/>
        </w:rPr>
        <w:t>מידע חיובי</w:t>
      </w:r>
      <w:r w:rsidRPr="008C71F7">
        <w:rPr>
          <w:rFonts w:ascii="David" w:eastAsia="Calibri" w:hAnsi="David" w:cs="David"/>
          <w:sz w:val="24"/>
          <w:szCs w:val="24"/>
          <w:rtl/>
        </w:rPr>
        <w:t>"</w:t>
      </w:r>
      <w:r>
        <w:rPr>
          <w:rFonts w:ascii="David" w:eastAsia="Calibri" w:hAnsi="David" w:cs="David" w:hint="cs"/>
          <w:sz w:val="24"/>
          <w:szCs w:val="24"/>
          <w:rtl/>
        </w:rPr>
        <w:t xml:space="preserve"> </w:t>
      </w:r>
      <w:r w:rsidRPr="008C71F7">
        <w:rPr>
          <w:rFonts w:ascii="David" w:eastAsia="Calibri" w:hAnsi="David" w:cs="David"/>
          <w:sz w:val="24"/>
          <w:szCs w:val="24"/>
          <w:rtl/>
        </w:rPr>
        <w:t>נרח</w:t>
      </w:r>
      <w:r w:rsidR="001B5215">
        <w:rPr>
          <w:rFonts w:ascii="David" w:eastAsia="Calibri" w:hAnsi="David" w:cs="David"/>
          <w:sz w:val="24"/>
          <w:szCs w:val="24"/>
          <w:rtl/>
        </w:rPr>
        <w:t>ב ה</w:t>
      </w:r>
      <w:r w:rsidR="001B5215" w:rsidRPr="001B5215">
        <w:rPr>
          <w:rFonts w:ascii="David" w:eastAsia="Calibri" w:hAnsi="David" w:cs="David"/>
          <w:sz w:val="24"/>
          <w:szCs w:val="24"/>
          <w:rtl/>
        </w:rPr>
        <w:t xml:space="preserve">כולל את נתוני האשראי של הלקוח (כגון: מידע אודות סוג ומספר כרטיסי האשראי שמחזיק הלקוח, הלוואת ומשכנתאות שאליהן הוא מחויב, מגבלות האשראי של </w:t>
      </w:r>
      <w:r w:rsidR="001B5215" w:rsidRPr="001B5215">
        <w:rPr>
          <w:rFonts w:ascii="David" w:eastAsia="Calibri" w:hAnsi="David" w:cs="David"/>
          <w:sz w:val="24"/>
          <w:szCs w:val="24"/>
          <w:rtl/>
        </w:rPr>
        <w:lastRenderedPageBreak/>
        <w:t>הלקוח), ופרטי מידע אודות חשבון הבנק של הלקוח (כגון: מספר חשבונות הבנק שיש ללקוח, יתרת חשבונות הבנק, משך הזמן בו מוגדר החשבון כפעיל</w:t>
      </w:r>
      <w:r w:rsidR="001B5215" w:rsidRPr="001B5215">
        <w:rPr>
          <w:rFonts w:ascii="David" w:eastAsia="Calibri" w:hAnsi="David" w:cs="David" w:hint="cs"/>
          <w:sz w:val="24"/>
          <w:szCs w:val="24"/>
          <w:rtl/>
        </w:rPr>
        <w:t xml:space="preserve"> ועוד). נוסף על כך, היקף המידע החיובי שנאסף בארצות הברית על אדם כולל גם נתונים הדבר מצבו התעסוקתי בעבר ובהווה והרקע המשפחתי שלו. </w:t>
      </w:r>
      <w:r w:rsidR="001B5215">
        <w:rPr>
          <w:rFonts w:ascii="David" w:eastAsia="Calibri" w:hAnsi="David" w:cs="David" w:hint="cs"/>
          <w:sz w:val="24"/>
          <w:szCs w:val="24"/>
          <w:rtl/>
        </w:rPr>
        <w:t xml:space="preserve">לעומת זאת, ההסדרים הקיימים </w:t>
      </w:r>
      <w:r w:rsidR="001B5215" w:rsidRPr="007515DF">
        <w:rPr>
          <w:rFonts w:ascii="David" w:eastAsia="Calibri" w:hAnsi="David" w:cs="David" w:hint="cs"/>
          <w:b/>
          <w:bCs/>
          <w:sz w:val="24"/>
          <w:szCs w:val="24"/>
          <w:rtl/>
        </w:rPr>
        <w:t>באירופה</w:t>
      </w:r>
      <w:r w:rsidR="009F62F7">
        <w:rPr>
          <w:rFonts w:ascii="David" w:eastAsia="Calibri" w:hAnsi="David" w:cs="David" w:hint="cs"/>
          <w:sz w:val="24"/>
          <w:szCs w:val="24"/>
          <w:rtl/>
        </w:rPr>
        <w:t xml:space="preserve"> </w:t>
      </w:r>
      <w:r w:rsidR="001B5215">
        <w:rPr>
          <w:rFonts w:ascii="David" w:eastAsia="Calibri" w:hAnsi="David" w:cs="David" w:hint="cs"/>
          <w:sz w:val="24"/>
          <w:szCs w:val="24"/>
          <w:rtl/>
        </w:rPr>
        <w:t>מטילים מגבלות</w:t>
      </w:r>
      <w:r w:rsidR="009F62F7">
        <w:rPr>
          <w:rFonts w:ascii="David" w:eastAsia="Calibri" w:hAnsi="David" w:cs="David" w:hint="cs"/>
          <w:sz w:val="24"/>
          <w:szCs w:val="24"/>
          <w:rtl/>
        </w:rPr>
        <w:t xml:space="preserve"> רבות יותר</w:t>
      </w:r>
      <w:r w:rsidR="001B5215">
        <w:rPr>
          <w:rFonts w:ascii="David" w:eastAsia="Calibri" w:hAnsi="David" w:cs="David" w:hint="cs"/>
          <w:sz w:val="24"/>
          <w:szCs w:val="24"/>
          <w:rtl/>
        </w:rPr>
        <w:t xml:space="preserve"> על היקף </w:t>
      </w:r>
      <w:r w:rsidR="009F62F7">
        <w:rPr>
          <w:rFonts w:ascii="David" w:eastAsia="Calibri" w:hAnsi="David" w:cs="David" w:hint="cs"/>
          <w:sz w:val="24"/>
          <w:szCs w:val="24"/>
          <w:rtl/>
        </w:rPr>
        <w:t xml:space="preserve">וסוג </w:t>
      </w:r>
      <w:r w:rsidR="001B5215">
        <w:rPr>
          <w:rFonts w:ascii="David" w:eastAsia="Calibri" w:hAnsi="David" w:cs="David" w:hint="cs"/>
          <w:sz w:val="24"/>
          <w:szCs w:val="24"/>
          <w:rtl/>
        </w:rPr>
        <w:t>המידע שנ</w:t>
      </w:r>
      <w:r w:rsidR="009F62F7">
        <w:rPr>
          <w:rFonts w:ascii="David" w:eastAsia="Calibri" w:hAnsi="David" w:cs="David" w:hint="cs"/>
          <w:sz w:val="24"/>
          <w:szCs w:val="24"/>
          <w:rtl/>
        </w:rPr>
        <w:t xml:space="preserve">אסף על אזרחי המדינה ומידע זה מתמצה בעיקר בלקוחות עם עבר אשראי בעייתי במיוחד. עוד כולל הדין שם מגבלות רחבות על סוגי המקורות הרשאים לספק את המידע ועל משך הזמן בו המידע נאסף ונשמר. </w:t>
      </w:r>
    </w:p>
    <w:p w:rsidR="000E6335" w:rsidRDefault="00266535" w:rsidP="00D4404D">
      <w:pPr>
        <w:widowControl w:val="0"/>
        <w:tabs>
          <w:tab w:val="center" w:pos="4153"/>
          <w:tab w:val="right" w:pos="8306"/>
        </w:tabs>
        <w:spacing w:after="120" w:line="360" w:lineRule="auto"/>
        <w:jc w:val="both"/>
        <w:rPr>
          <w:rFonts w:ascii="David" w:eastAsia="Calibri" w:hAnsi="David" w:cs="David"/>
          <w:sz w:val="24"/>
          <w:szCs w:val="24"/>
          <w:rtl/>
        </w:rPr>
      </w:pPr>
      <w:r>
        <w:rPr>
          <w:rFonts w:ascii="David" w:eastAsia="Calibri" w:hAnsi="David" w:cs="David" w:hint="cs"/>
          <w:sz w:val="24"/>
          <w:szCs w:val="24"/>
          <w:rtl/>
        </w:rPr>
        <w:t>על ההסדרים המשפטיים בארצות הברית אשר עיגנו משטר רחב של איסוף, דירוג וסחר של נתוני אשראי נמתחה ביקורת רבה. בין היתר, התברר כי הסדרים אלו לא נתנו מענה הולם לבעיה החוזרת ונשנית של מידע שגוי שהופיע בדוחות האשראי של אזרחים</w:t>
      </w:r>
      <w:r w:rsidR="000E6335">
        <w:rPr>
          <w:rFonts w:ascii="David" w:eastAsia="Calibri" w:hAnsi="David" w:cs="David" w:hint="cs"/>
          <w:sz w:val="24"/>
          <w:szCs w:val="24"/>
          <w:rtl/>
        </w:rPr>
        <w:t>. עוד נמצא,</w:t>
      </w:r>
      <w:r>
        <w:rPr>
          <w:rFonts w:ascii="David" w:eastAsia="Calibri" w:hAnsi="David" w:cs="David" w:hint="cs"/>
          <w:sz w:val="24"/>
          <w:szCs w:val="24"/>
          <w:rtl/>
        </w:rPr>
        <w:t xml:space="preserve"> כי לשכות האשראי סיפקו מידע על אזרחים למקורות שונים ולמטרות ה</w:t>
      </w:r>
      <w:r w:rsidR="000E6335">
        <w:rPr>
          <w:rFonts w:ascii="David" w:eastAsia="Calibri" w:hAnsi="David" w:cs="David" w:hint="cs"/>
          <w:sz w:val="24"/>
          <w:szCs w:val="24"/>
          <w:rtl/>
        </w:rPr>
        <w:t>אסורות על פי חוק. עוד התברר,</w:t>
      </w:r>
      <w:r>
        <w:rPr>
          <w:rFonts w:ascii="David" w:eastAsia="Calibri" w:hAnsi="David" w:cs="David" w:hint="cs"/>
          <w:sz w:val="24"/>
          <w:szCs w:val="24"/>
          <w:rtl/>
        </w:rPr>
        <w:t xml:space="preserve"> כי לשכות האשראי בארצות הברית לא השקיעו משאבים רבים באבטחת המידע שברשותם ולא מנעו גניבה של זהויות </w:t>
      </w:r>
      <w:r>
        <w:rPr>
          <w:rFonts w:ascii="David" w:eastAsia="Calibri" w:hAnsi="David" w:cs="David"/>
          <w:sz w:val="24"/>
          <w:szCs w:val="24"/>
        </w:rPr>
        <w:t>(Identity Theft)</w:t>
      </w:r>
      <w:r>
        <w:rPr>
          <w:rFonts w:ascii="David" w:eastAsia="Calibri" w:hAnsi="David" w:cs="David" w:hint="cs"/>
          <w:sz w:val="24"/>
          <w:szCs w:val="24"/>
          <w:rtl/>
        </w:rPr>
        <w:t xml:space="preserve">. </w:t>
      </w:r>
      <w:r w:rsidR="000E6335">
        <w:rPr>
          <w:rFonts w:ascii="David" w:eastAsia="Calibri" w:hAnsi="David" w:cs="David" w:hint="cs"/>
          <w:sz w:val="24"/>
          <w:szCs w:val="24"/>
          <w:rtl/>
        </w:rPr>
        <w:t xml:space="preserve">ולבסוף נטען, כי ההסדרים המשפטיים המאפשרים איסוף רחב של נתוני אשראי פגעו בעיקר באוכלוסייה ממעמד סוציו-אקונומי נמוך. שכן הם גרמו לייקור הריבית עבור האשראי או לכך שאוכלוסייה זו לא זכתה לקבל אשראי מלכתחילה. </w:t>
      </w:r>
    </w:p>
    <w:p w:rsidR="00F35BB7" w:rsidRPr="008C71F7" w:rsidRDefault="009F62F7" w:rsidP="00D4404D">
      <w:pPr>
        <w:widowControl w:val="0"/>
        <w:tabs>
          <w:tab w:val="center" w:pos="4153"/>
          <w:tab w:val="right" w:pos="8306"/>
        </w:tabs>
        <w:spacing w:after="120" w:line="360" w:lineRule="auto"/>
        <w:jc w:val="both"/>
        <w:rPr>
          <w:rFonts w:ascii="David" w:eastAsia="Calibri" w:hAnsi="David" w:cs="David"/>
          <w:sz w:val="24"/>
          <w:szCs w:val="24"/>
          <w:rtl/>
        </w:rPr>
      </w:pPr>
      <w:r>
        <w:rPr>
          <w:rFonts w:ascii="David" w:eastAsia="Calibri" w:hAnsi="David" w:cs="David" w:hint="cs"/>
          <w:sz w:val="24"/>
          <w:szCs w:val="24"/>
          <w:rtl/>
        </w:rPr>
        <w:t xml:space="preserve">בחודש אוגוסט 2014 מינו ראש הממשלה ושרת המשפטים את </w:t>
      </w:r>
      <w:r w:rsidR="007A7C06" w:rsidRPr="008C71F7">
        <w:rPr>
          <w:rFonts w:ascii="David" w:eastAsia="Calibri" w:hAnsi="David" w:cs="David"/>
          <w:sz w:val="24"/>
          <w:szCs w:val="24"/>
          <w:rtl/>
        </w:rPr>
        <w:t>הוועדה לשיפור המערכת לשיתוף בנתוני אשראי (להלן: "</w:t>
      </w:r>
      <w:r w:rsidR="007A7C06" w:rsidRPr="008C71F7">
        <w:rPr>
          <w:rFonts w:ascii="David" w:eastAsia="Calibri" w:hAnsi="David" w:cs="David"/>
          <w:b/>
          <w:bCs/>
          <w:sz w:val="24"/>
          <w:szCs w:val="24"/>
          <w:rtl/>
        </w:rPr>
        <w:t>הועדה</w:t>
      </w:r>
      <w:r w:rsidR="007A7C06" w:rsidRPr="008C71F7">
        <w:rPr>
          <w:rFonts w:ascii="David" w:eastAsia="Calibri" w:hAnsi="David" w:cs="David"/>
          <w:sz w:val="24"/>
          <w:szCs w:val="24"/>
          <w:rtl/>
        </w:rPr>
        <w:t>")</w:t>
      </w:r>
      <w:r w:rsidR="00E4707C" w:rsidRPr="008C71F7">
        <w:rPr>
          <w:rFonts w:ascii="David" w:eastAsia="Calibri" w:hAnsi="David" w:cs="David"/>
          <w:sz w:val="24"/>
          <w:szCs w:val="24"/>
          <w:rtl/>
        </w:rPr>
        <w:t xml:space="preserve"> שמטרתה לפעול לשיפור השיתוף בנתוני אשראי במשק על מנת להגביר את התחרות ולהגדיל את היקף האשראי הקמעונאי, לצמצם אפליה במתן אשראי ולהקטין עלויות אשראי, לקדם התנהלות פיננסית נכונה יותר של הציבור ולהגביר את היציבות הפיננסית של המערכת הבנקאית. </w:t>
      </w:r>
      <w:r>
        <w:rPr>
          <w:rFonts w:ascii="David" w:eastAsia="Calibri" w:hAnsi="David" w:cs="David" w:hint="cs"/>
          <w:sz w:val="24"/>
          <w:szCs w:val="24"/>
          <w:rtl/>
        </w:rPr>
        <w:t xml:space="preserve">בחודש אוגוסט 2015 הגישה הועדה את המלצותיה לממשלת ישראל. </w:t>
      </w:r>
    </w:p>
    <w:p w:rsidR="00FD2121" w:rsidRPr="007747BE" w:rsidRDefault="00B62960" w:rsidP="00D4404D">
      <w:pPr>
        <w:widowControl w:val="0"/>
        <w:tabs>
          <w:tab w:val="left" w:pos="226"/>
          <w:tab w:val="center" w:pos="4153"/>
          <w:tab w:val="right" w:pos="8306"/>
        </w:tabs>
        <w:spacing w:after="120" w:line="360" w:lineRule="auto"/>
        <w:jc w:val="both"/>
        <w:rPr>
          <w:rFonts w:ascii="David" w:eastAsia="Calibri" w:hAnsi="David" w:cs="David"/>
          <w:sz w:val="28"/>
          <w:szCs w:val="28"/>
          <w:u w:val="single"/>
          <w:rtl/>
        </w:rPr>
      </w:pPr>
      <w:r w:rsidRPr="007747BE">
        <w:rPr>
          <w:rFonts w:ascii="David" w:eastAsia="Calibri" w:hAnsi="David" w:cs="David" w:hint="cs"/>
          <w:sz w:val="28"/>
          <w:szCs w:val="28"/>
          <w:u w:val="single"/>
          <w:rtl/>
        </w:rPr>
        <w:t>ה</w:t>
      </w:r>
      <w:r w:rsidR="00326D3C" w:rsidRPr="007747BE">
        <w:rPr>
          <w:rFonts w:ascii="David" w:eastAsia="Calibri" w:hAnsi="David" w:cs="David"/>
          <w:sz w:val="28"/>
          <w:szCs w:val="28"/>
          <w:u w:val="single"/>
          <w:rtl/>
        </w:rPr>
        <w:t>חקיקה</w:t>
      </w:r>
    </w:p>
    <w:p w:rsidR="00631DE7" w:rsidRDefault="00F25093" w:rsidP="00D4404D">
      <w:pPr>
        <w:widowControl w:val="0"/>
        <w:tabs>
          <w:tab w:val="left" w:pos="226"/>
          <w:tab w:val="center" w:pos="4153"/>
          <w:tab w:val="right" w:pos="8306"/>
        </w:tabs>
        <w:spacing w:after="120" w:line="360" w:lineRule="auto"/>
        <w:jc w:val="both"/>
        <w:rPr>
          <w:rFonts w:ascii="David" w:eastAsia="Calibri" w:hAnsi="David" w:cs="David"/>
          <w:sz w:val="24"/>
          <w:szCs w:val="24"/>
          <w:rtl/>
        </w:rPr>
      </w:pPr>
      <w:r w:rsidRPr="00631DE7">
        <w:rPr>
          <w:rFonts w:ascii="David" w:eastAsia="Calibri" w:hAnsi="David" w:cs="David"/>
          <w:sz w:val="24"/>
          <w:szCs w:val="24"/>
          <w:rtl/>
        </w:rPr>
        <w:t>משטר איסוף מידע על היסטוריית האשראי של לקוחות אינו חדש ב</w:t>
      </w:r>
      <w:r w:rsidR="009F62F7" w:rsidRPr="00631DE7">
        <w:rPr>
          <w:rFonts w:ascii="David" w:eastAsia="Calibri" w:hAnsi="David" w:cs="David" w:hint="cs"/>
          <w:sz w:val="24"/>
          <w:szCs w:val="24"/>
          <w:rtl/>
        </w:rPr>
        <w:t xml:space="preserve">ישראל </w:t>
      </w:r>
      <w:r w:rsidR="0011665A" w:rsidRPr="00631DE7">
        <w:rPr>
          <w:rFonts w:ascii="David" w:eastAsia="Calibri" w:hAnsi="David" w:cs="David"/>
          <w:sz w:val="24"/>
          <w:szCs w:val="24"/>
          <w:rtl/>
        </w:rPr>
        <w:t>כלל</w:t>
      </w:r>
      <w:r w:rsidRPr="00631DE7">
        <w:rPr>
          <w:rFonts w:ascii="David" w:eastAsia="Calibri" w:hAnsi="David" w:cs="David"/>
          <w:sz w:val="24"/>
          <w:szCs w:val="24"/>
          <w:rtl/>
        </w:rPr>
        <w:t xml:space="preserve"> ועיקר. כבר בשנת 2002 חוקק</w:t>
      </w:r>
      <w:r w:rsidR="009F62F7" w:rsidRPr="00631DE7">
        <w:rPr>
          <w:rFonts w:ascii="David" w:eastAsia="Calibri" w:hAnsi="David" w:cs="David" w:hint="cs"/>
          <w:sz w:val="24"/>
          <w:szCs w:val="24"/>
          <w:rtl/>
        </w:rPr>
        <w:t>ה הכנסת</w:t>
      </w:r>
      <w:r w:rsidRPr="00631DE7">
        <w:rPr>
          <w:rFonts w:ascii="David" w:eastAsia="Calibri" w:hAnsi="David" w:cs="David"/>
          <w:sz w:val="24"/>
          <w:szCs w:val="24"/>
          <w:rtl/>
        </w:rPr>
        <w:t xml:space="preserve"> את חוק שירות נתוני אשראי, התשס"ב-2002 </w:t>
      </w:r>
      <w:r w:rsidR="00631DE7" w:rsidRPr="00631DE7">
        <w:rPr>
          <w:rFonts w:ascii="David" w:eastAsia="Calibri" w:hAnsi="David" w:cs="David" w:hint="cs"/>
          <w:sz w:val="24"/>
          <w:szCs w:val="24"/>
          <w:rtl/>
        </w:rPr>
        <w:t>(</w:t>
      </w:r>
      <w:r w:rsidR="00631DE7">
        <w:rPr>
          <w:rFonts w:ascii="David" w:eastAsia="Calibri" w:hAnsi="David" w:cs="David" w:hint="cs"/>
          <w:sz w:val="24"/>
          <w:szCs w:val="24"/>
          <w:rtl/>
        </w:rPr>
        <w:t>להלן: "</w:t>
      </w:r>
      <w:r w:rsidR="00631DE7" w:rsidRPr="007515DF">
        <w:rPr>
          <w:rFonts w:ascii="David" w:eastAsia="Calibri" w:hAnsi="David" w:cs="David" w:hint="cs"/>
          <w:b/>
          <w:bCs/>
          <w:sz w:val="24"/>
          <w:szCs w:val="24"/>
          <w:rtl/>
        </w:rPr>
        <w:t>חוק נתוני אשראי הישן</w:t>
      </w:r>
      <w:r w:rsidR="00631DE7" w:rsidRPr="00631DE7">
        <w:rPr>
          <w:rFonts w:ascii="David" w:eastAsia="Calibri" w:hAnsi="David" w:cs="David" w:hint="cs"/>
          <w:sz w:val="24"/>
          <w:szCs w:val="24"/>
          <w:rtl/>
        </w:rPr>
        <w:t xml:space="preserve">") אשר הניח את התשתית </w:t>
      </w:r>
      <w:r w:rsidR="00631DE7" w:rsidRPr="007515DF">
        <w:rPr>
          <w:rFonts w:ascii="David" w:eastAsia="Calibri" w:hAnsi="David" w:cs="David" w:hint="cs"/>
          <w:sz w:val="24"/>
          <w:szCs w:val="24"/>
          <w:rtl/>
        </w:rPr>
        <w:t>להקמת מערכת לשיתוף נתוני אשראי בישראל.</w:t>
      </w:r>
      <w:r w:rsidR="00631DE7">
        <w:rPr>
          <w:rFonts w:ascii="David" w:eastAsia="Calibri" w:hAnsi="David" w:cs="David" w:hint="cs"/>
          <w:sz w:val="24"/>
          <w:szCs w:val="24"/>
          <w:rtl/>
        </w:rPr>
        <w:t xml:space="preserve"> חוק נתוני אשראי הישן</w:t>
      </w:r>
      <w:r w:rsidR="00631DE7" w:rsidRPr="00631DE7">
        <w:rPr>
          <w:rFonts w:ascii="David" w:eastAsia="Calibri" w:hAnsi="David" w:cs="David" w:hint="cs"/>
          <w:sz w:val="24"/>
          <w:szCs w:val="24"/>
          <w:rtl/>
        </w:rPr>
        <w:t xml:space="preserve"> מאפשר בעיקרו איסוף ומסירה של מידע </w:t>
      </w:r>
      <w:r w:rsidR="00E878CA">
        <w:rPr>
          <w:rFonts w:ascii="David" w:eastAsia="Calibri" w:hAnsi="David" w:cs="David" w:hint="cs"/>
          <w:sz w:val="24"/>
          <w:szCs w:val="24"/>
          <w:rtl/>
        </w:rPr>
        <w:t xml:space="preserve">שלילי </w:t>
      </w:r>
      <w:r w:rsidR="00631DE7" w:rsidRPr="00631DE7">
        <w:rPr>
          <w:rFonts w:ascii="David" w:eastAsia="Calibri" w:hAnsi="David" w:cs="David" w:hint="cs"/>
          <w:sz w:val="24"/>
          <w:szCs w:val="24"/>
          <w:rtl/>
        </w:rPr>
        <w:t>בלבד. איסוף של מידע חיובי אפשרי רק אם הלקוח הסכים לכך או אגב איסוף מידע שלילי. מקורות המידע מהם ניתן לאסוף נתונים</w:t>
      </w:r>
      <w:r w:rsidR="00E878CA">
        <w:rPr>
          <w:rFonts w:ascii="David" w:eastAsia="Calibri" w:hAnsi="David" w:cs="David" w:hint="cs"/>
          <w:sz w:val="24"/>
          <w:szCs w:val="24"/>
          <w:rtl/>
        </w:rPr>
        <w:t xml:space="preserve"> על פי חוק נתוני אשראי הישן</w:t>
      </w:r>
      <w:r w:rsidR="00631DE7" w:rsidRPr="00631DE7">
        <w:rPr>
          <w:rFonts w:ascii="David" w:eastAsia="Calibri" w:hAnsi="David" w:cs="David" w:hint="cs"/>
          <w:sz w:val="24"/>
          <w:szCs w:val="24"/>
          <w:rtl/>
        </w:rPr>
        <w:t xml:space="preserve"> הם שלושה: </w:t>
      </w:r>
      <w:r w:rsidR="00631DE7" w:rsidRPr="007515DF">
        <w:rPr>
          <w:rFonts w:ascii="David" w:eastAsia="Calibri" w:hAnsi="David" w:cs="David" w:hint="cs"/>
          <w:sz w:val="24"/>
          <w:szCs w:val="24"/>
          <w:rtl/>
        </w:rPr>
        <w:t>תאגידים בנקיים וחברות כרטיסי אשראי; גופים ציבוריים המנהלים רשומות ביחס לאי עמידה בהתחייבויות פיננסיות, כגון: לשכות ההוצאה לפועל, כונס הנכסים הרשמי, מערכת בתי המשפט ובנק ישראל; מקורות מוסמכים: תאגידים אשר מתקיימים לגביהם שני תנאים: האחד, התאגיד מנהל רשומ</w:t>
      </w:r>
      <w:r w:rsidR="00631DE7" w:rsidRPr="00631DE7">
        <w:rPr>
          <w:rFonts w:ascii="David" w:eastAsia="Calibri" w:hAnsi="David" w:cs="David" w:hint="cs"/>
          <w:sz w:val="24"/>
          <w:szCs w:val="24"/>
          <w:rtl/>
        </w:rPr>
        <w:t>ות מוסדיות בדבר אי פירעון חובות</w:t>
      </w:r>
      <w:r w:rsidR="00631DE7" w:rsidRPr="007515DF">
        <w:rPr>
          <w:rFonts w:ascii="David" w:eastAsia="Calibri" w:hAnsi="David" w:cs="David" w:hint="cs"/>
          <w:sz w:val="24"/>
          <w:szCs w:val="24"/>
          <w:rtl/>
        </w:rPr>
        <w:t>. השני, מחזור עסקיו השנתי אינו נמוך מ-25 מיליון ש"ח.</w:t>
      </w:r>
      <w:r w:rsidR="00631DE7">
        <w:rPr>
          <w:rFonts w:ascii="David" w:eastAsia="Calibri" w:hAnsi="David" w:cs="David" w:hint="cs"/>
          <w:sz w:val="24"/>
          <w:szCs w:val="24"/>
          <w:rtl/>
        </w:rPr>
        <w:t xml:space="preserve"> </w:t>
      </w:r>
      <w:r w:rsidR="00E878CA">
        <w:rPr>
          <w:rFonts w:ascii="David" w:eastAsia="Calibri" w:hAnsi="David" w:cs="David" w:hint="cs"/>
          <w:sz w:val="24"/>
          <w:szCs w:val="24"/>
          <w:rtl/>
        </w:rPr>
        <w:t xml:space="preserve">ככלל, חוק נתוני אשראי הישן </w:t>
      </w:r>
      <w:r w:rsidR="00631DE7">
        <w:rPr>
          <w:rFonts w:ascii="David" w:eastAsia="Calibri" w:hAnsi="David" w:cs="David" w:hint="cs"/>
          <w:sz w:val="24"/>
          <w:szCs w:val="24"/>
          <w:rtl/>
        </w:rPr>
        <w:t>אפשר איסוף מידע על כ-10% מהאוכלוסייה (אזרחים בעלי מידע שלילי), כאשר מידע חיובי נ</w:t>
      </w:r>
      <w:r w:rsidR="00E878CA">
        <w:rPr>
          <w:rFonts w:ascii="David" w:eastAsia="Calibri" w:hAnsi="David" w:cs="David" w:hint="cs"/>
          <w:sz w:val="24"/>
          <w:szCs w:val="24"/>
          <w:rtl/>
        </w:rPr>
        <w:t>אסף</w:t>
      </w:r>
      <w:r w:rsidR="00631DE7">
        <w:rPr>
          <w:rFonts w:ascii="David" w:eastAsia="Calibri" w:hAnsi="David" w:cs="David" w:hint="cs"/>
          <w:sz w:val="24"/>
          <w:szCs w:val="24"/>
          <w:rtl/>
        </w:rPr>
        <w:t xml:space="preserve"> לגבי לקוחות שכבר נאסף עליהם מידע שלילי. </w:t>
      </w:r>
    </w:p>
    <w:p w:rsidR="002C0A70" w:rsidRDefault="00631DE7" w:rsidP="00D4404D">
      <w:pPr>
        <w:widowControl w:val="0"/>
        <w:tabs>
          <w:tab w:val="left" w:pos="226"/>
          <w:tab w:val="center" w:pos="4153"/>
          <w:tab w:val="right" w:pos="8306"/>
        </w:tabs>
        <w:spacing w:after="120" w:line="360" w:lineRule="auto"/>
        <w:jc w:val="both"/>
        <w:rPr>
          <w:rFonts w:ascii="David" w:eastAsia="Calibri" w:hAnsi="David" w:cs="David"/>
          <w:sz w:val="24"/>
          <w:szCs w:val="24"/>
          <w:rtl/>
        </w:rPr>
      </w:pPr>
      <w:r w:rsidRPr="002C0A70">
        <w:rPr>
          <w:rFonts w:ascii="David" w:eastAsia="Calibri" w:hAnsi="David" w:cs="David"/>
          <w:sz w:val="24"/>
          <w:szCs w:val="24"/>
          <w:rtl/>
        </w:rPr>
        <w:t>בחודש אפריל 2016 חוקקה הכנסת את חוק נתוני אשראי, התשע"ו-2016 (להלן: "</w:t>
      </w:r>
      <w:r w:rsidRPr="002C0A70">
        <w:rPr>
          <w:rFonts w:ascii="David" w:eastAsia="Calibri" w:hAnsi="David" w:cs="David"/>
          <w:b/>
          <w:bCs/>
          <w:sz w:val="24"/>
          <w:szCs w:val="24"/>
          <w:rtl/>
        </w:rPr>
        <w:t>חוק נתוני אשראי החדש</w:t>
      </w:r>
      <w:r w:rsidRPr="002C0A70">
        <w:rPr>
          <w:rFonts w:ascii="David" w:eastAsia="Calibri" w:hAnsi="David" w:cs="David"/>
          <w:sz w:val="24"/>
          <w:szCs w:val="24"/>
          <w:rtl/>
        </w:rPr>
        <w:t>"). חוק נתוני אשראי החדש מבקש לעגן את המלצות הועדה</w:t>
      </w:r>
      <w:r w:rsidR="007515DF" w:rsidRPr="002C0A70">
        <w:rPr>
          <w:rFonts w:ascii="David" w:eastAsia="Calibri" w:hAnsi="David" w:cs="David"/>
          <w:sz w:val="24"/>
          <w:szCs w:val="24"/>
          <w:rtl/>
        </w:rPr>
        <w:t xml:space="preserve"> בחקיקה ראשית. </w:t>
      </w:r>
      <w:r w:rsidR="00C452E0" w:rsidRPr="0087247F">
        <w:rPr>
          <w:rFonts w:ascii="David" w:hAnsi="David" w:cs="David"/>
          <w:sz w:val="24"/>
          <w:szCs w:val="24"/>
          <w:rtl/>
        </w:rPr>
        <w:t xml:space="preserve">מטרתו של חוק </w:t>
      </w:r>
      <w:r w:rsidR="007515DF" w:rsidRPr="0087247F">
        <w:rPr>
          <w:rFonts w:ascii="David" w:hAnsi="David" w:cs="David"/>
          <w:sz w:val="24"/>
          <w:szCs w:val="24"/>
          <w:rtl/>
        </w:rPr>
        <w:t xml:space="preserve">נתוני אשראי החדש היא </w:t>
      </w:r>
      <w:r w:rsidR="00C452E0" w:rsidRPr="0087247F">
        <w:rPr>
          <w:rFonts w:ascii="David" w:hAnsi="David" w:cs="David"/>
          <w:sz w:val="24"/>
          <w:szCs w:val="24"/>
          <w:rtl/>
        </w:rPr>
        <w:t xml:space="preserve">לקבוע הסדר כולל לשיתוף בנתוני אשראי, ובו הוראות </w:t>
      </w:r>
      <w:r w:rsidR="00C452E0" w:rsidRPr="0087247F">
        <w:rPr>
          <w:rFonts w:ascii="David" w:hAnsi="David" w:cs="David"/>
          <w:sz w:val="24"/>
          <w:szCs w:val="24"/>
          <w:rtl/>
        </w:rPr>
        <w:lastRenderedPageBreak/>
        <w:t xml:space="preserve">לעניין איסוף נתוני אשראי ממקורות </w:t>
      </w:r>
      <w:r w:rsidR="007515DF" w:rsidRPr="0087247F">
        <w:rPr>
          <w:rFonts w:ascii="David" w:hAnsi="David" w:cs="David"/>
          <w:sz w:val="24"/>
          <w:szCs w:val="24"/>
          <w:rtl/>
        </w:rPr>
        <w:t>מידע שונים</w:t>
      </w:r>
      <w:r w:rsidR="00C452E0" w:rsidRPr="0087247F">
        <w:rPr>
          <w:rFonts w:ascii="David" w:hAnsi="David" w:cs="David"/>
          <w:sz w:val="24"/>
          <w:szCs w:val="24"/>
          <w:rtl/>
        </w:rPr>
        <w:t>, שמירתם במאגר מ</w:t>
      </w:r>
      <w:r w:rsidR="00C1364E" w:rsidRPr="0087247F">
        <w:rPr>
          <w:rFonts w:ascii="David" w:hAnsi="David" w:cs="David"/>
          <w:sz w:val="24"/>
          <w:szCs w:val="24"/>
          <w:rtl/>
        </w:rPr>
        <w:t xml:space="preserve">ידע מרכזי המופעל </w:t>
      </w:r>
      <w:r w:rsidR="007515DF" w:rsidRPr="0087247F">
        <w:rPr>
          <w:rFonts w:ascii="David" w:hAnsi="David" w:cs="David"/>
          <w:sz w:val="24"/>
          <w:szCs w:val="24"/>
          <w:rtl/>
        </w:rPr>
        <w:t>על ידי בנק ישראל</w:t>
      </w:r>
      <w:r w:rsidR="00C1364E" w:rsidRPr="0087247F">
        <w:rPr>
          <w:rFonts w:ascii="David" w:hAnsi="David" w:cs="David"/>
          <w:sz w:val="24"/>
          <w:szCs w:val="24"/>
          <w:rtl/>
        </w:rPr>
        <w:t xml:space="preserve"> </w:t>
      </w:r>
      <w:r w:rsidR="00C452E0" w:rsidRPr="0087247F">
        <w:rPr>
          <w:rFonts w:ascii="David" w:hAnsi="David" w:cs="David"/>
          <w:sz w:val="24"/>
          <w:szCs w:val="24"/>
          <w:rtl/>
        </w:rPr>
        <w:t>ומסירת נתוני אשראי ממנו ללשכות אשראי לשם עיבודם והעברתם, בין השאר לנותני אשראי</w:t>
      </w:r>
      <w:r w:rsidR="007515DF" w:rsidRPr="0087247F">
        <w:rPr>
          <w:rFonts w:ascii="David" w:hAnsi="David" w:cs="David"/>
          <w:sz w:val="24"/>
          <w:szCs w:val="24"/>
          <w:rtl/>
        </w:rPr>
        <w:t xml:space="preserve">. </w:t>
      </w:r>
      <w:r w:rsidR="002C0A70">
        <w:rPr>
          <w:rFonts w:ascii="David" w:hAnsi="David" w:cs="David" w:hint="cs"/>
          <w:sz w:val="24"/>
          <w:szCs w:val="24"/>
          <w:rtl/>
        </w:rPr>
        <w:t xml:space="preserve">חוק נתוני אשראי החדש מאפשר איסוף פרטים מזהים של לקוח הדרושים להערכת הסיכוי שהלקוח יעמוד בפירעון תשלומים שבהם התחייב. נתונים אלה </w:t>
      </w:r>
      <w:r w:rsidR="00E878CA">
        <w:rPr>
          <w:rFonts w:ascii="David" w:hAnsi="David" w:cs="David" w:hint="cs"/>
          <w:sz w:val="24"/>
          <w:szCs w:val="24"/>
          <w:rtl/>
        </w:rPr>
        <w:t xml:space="preserve">כוללים </w:t>
      </w:r>
      <w:r w:rsidR="002C0A70">
        <w:rPr>
          <w:rFonts w:ascii="David" w:hAnsi="David" w:cs="David" w:hint="cs"/>
          <w:sz w:val="24"/>
          <w:szCs w:val="24"/>
          <w:rtl/>
        </w:rPr>
        <w:t>מידע</w:t>
      </w:r>
      <w:r w:rsidR="002C0A70" w:rsidRPr="008C71F7">
        <w:rPr>
          <w:rFonts w:ascii="David" w:eastAsia="Calibri" w:hAnsi="David" w:cs="David"/>
          <w:sz w:val="24"/>
          <w:szCs w:val="24"/>
          <w:rtl/>
        </w:rPr>
        <w:t xml:space="preserve"> לגבי תשלומים שבהם התחייב הלקוח ולגבי פירעונ</w:t>
      </w:r>
      <w:r w:rsidR="002C0A70">
        <w:rPr>
          <w:rFonts w:ascii="David" w:eastAsia="Calibri" w:hAnsi="David" w:cs="David"/>
          <w:sz w:val="24"/>
          <w:szCs w:val="24"/>
          <w:rtl/>
        </w:rPr>
        <w:t xml:space="preserve">ם, ובכלל זה תנאי ההתחייבות, </w:t>
      </w:r>
      <w:r w:rsidR="002C0A70" w:rsidRPr="008C71F7">
        <w:rPr>
          <w:rFonts w:ascii="David" w:eastAsia="Calibri" w:hAnsi="David" w:cs="David"/>
          <w:sz w:val="24"/>
          <w:szCs w:val="24"/>
          <w:rtl/>
        </w:rPr>
        <w:t>צווים או הגבלות שהוטלו על הלקוח לפי דין בשל אי-פירעון;</w:t>
      </w:r>
      <w:r w:rsidR="002C0A70">
        <w:rPr>
          <w:rFonts w:ascii="David" w:hAnsi="David" w:cs="David" w:hint="cs"/>
          <w:sz w:val="24"/>
          <w:szCs w:val="24"/>
          <w:rtl/>
        </w:rPr>
        <w:t xml:space="preserve"> מידע </w:t>
      </w:r>
      <w:r w:rsidR="002C0A70" w:rsidRPr="008C71F7">
        <w:rPr>
          <w:rFonts w:ascii="David" w:eastAsia="Calibri" w:hAnsi="David" w:cs="David"/>
          <w:sz w:val="24"/>
          <w:szCs w:val="24"/>
          <w:rtl/>
        </w:rPr>
        <w:t>לגבי בקשות לקוח לנטילת אשראי, ובכלל זה בקש</w:t>
      </w:r>
      <w:r w:rsidR="002C0A70">
        <w:rPr>
          <w:rFonts w:ascii="David" w:eastAsia="Calibri" w:hAnsi="David" w:cs="David"/>
          <w:sz w:val="24"/>
          <w:szCs w:val="24"/>
          <w:rtl/>
        </w:rPr>
        <w:t xml:space="preserve">ות שהגישה לשכת אשראי לבנק </w:t>
      </w:r>
      <w:r w:rsidR="002C0A70">
        <w:rPr>
          <w:rFonts w:ascii="David" w:eastAsia="Calibri" w:hAnsi="David" w:cs="David" w:hint="cs"/>
          <w:sz w:val="24"/>
          <w:szCs w:val="24"/>
          <w:rtl/>
        </w:rPr>
        <w:t xml:space="preserve">המרכזי; מידע </w:t>
      </w:r>
      <w:r w:rsidR="002C0A70" w:rsidRPr="008C71F7">
        <w:rPr>
          <w:rFonts w:ascii="David" w:eastAsia="Calibri" w:hAnsi="David" w:cs="David"/>
          <w:sz w:val="24"/>
          <w:szCs w:val="24"/>
          <w:rtl/>
        </w:rPr>
        <w:t>בדבר היקף האשרא</w:t>
      </w:r>
      <w:r w:rsidR="002C0A70">
        <w:rPr>
          <w:rFonts w:ascii="David" w:eastAsia="Calibri" w:hAnsi="David" w:cs="David"/>
          <w:sz w:val="24"/>
          <w:szCs w:val="24"/>
          <w:rtl/>
        </w:rPr>
        <w:t>י שהלקוח רשאי ליטול מנותן אשראי</w:t>
      </w:r>
      <w:r w:rsidR="002C0A70">
        <w:rPr>
          <w:rFonts w:ascii="David" w:eastAsia="Calibri" w:hAnsi="David" w:cs="David" w:hint="cs"/>
          <w:sz w:val="24"/>
          <w:szCs w:val="24"/>
          <w:rtl/>
        </w:rPr>
        <w:t xml:space="preserve"> ומידע ל</w:t>
      </w:r>
      <w:r w:rsidR="002C0A70" w:rsidRPr="008C71F7">
        <w:rPr>
          <w:rFonts w:ascii="David" w:eastAsia="Calibri" w:hAnsi="David" w:cs="David"/>
          <w:sz w:val="24"/>
          <w:szCs w:val="24"/>
          <w:rtl/>
        </w:rPr>
        <w:t>גבי סוגי חשבונות של הלקוח המתנהלים אצל נותן אשראי, שבהם ניתן אשראי או שקיימת זכות לקבל בהם אשראי, ומאפיינים של חשבונות כאמור</w:t>
      </w:r>
      <w:r w:rsidR="002C0A70">
        <w:rPr>
          <w:rFonts w:ascii="David" w:eastAsia="Calibri" w:hAnsi="David" w:cs="David" w:hint="cs"/>
          <w:sz w:val="24"/>
          <w:szCs w:val="24"/>
          <w:rtl/>
        </w:rPr>
        <w:t>.</w:t>
      </w:r>
    </w:p>
    <w:p w:rsidR="007515DF" w:rsidRDefault="002C0A70" w:rsidP="004060AF">
      <w:pPr>
        <w:widowControl w:val="0"/>
        <w:tabs>
          <w:tab w:val="left" w:pos="226"/>
          <w:tab w:val="center" w:pos="4153"/>
          <w:tab w:val="right" w:pos="8306"/>
        </w:tabs>
        <w:spacing w:after="120" w:line="360" w:lineRule="auto"/>
        <w:jc w:val="both"/>
        <w:rPr>
          <w:rStyle w:val="default"/>
          <w:rFonts w:ascii="David" w:hAnsi="David" w:cs="David"/>
          <w:sz w:val="24"/>
          <w:szCs w:val="24"/>
          <w:rtl/>
        </w:rPr>
      </w:pPr>
      <w:r>
        <w:rPr>
          <w:rFonts w:ascii="David" w:hAnsi="David" w:cs="David" w:hint="cs"/>
          <w:sz w:val="24"/>
          <w:szCs w:val="24"/>
          <w:rtl/>
        </w:rPr>
        <w:t xml:space="preserve">חוק נתוני </w:t>
      </w:r>
      <w:r w:rsidR="007515DF" w:rsidRPr="0087247F">
        <w:rPr>
          <w:rFonts w:ascii="David" w:hAnsi="David" w:cs="David"/>
          <w:sz w:val="24"/>
          <w:szCs w:val="24"/>
          <w:rtl/>
        </w:rPr>
        <w:t>האשראי החדש קובע כי מקורות המידע הבאים יעבירו למאגר נתוני אשראי לשם הכללתם במאגר:</w:t>
      </w:r>
      <w:r w:rsidRPr="002C0A70">
        <w:rPr>
          <w:rFonts w:ascii="David" w:eastAsia="Calibri" w:hAnsi="David" w:cs="David"/>
          <w:sz w:val="24"/>
          <w:szCs w:val="24"/>
          <w:rtl/>
        </w:rPr>
        <w:t xml:space="preserve"> </w:t>
      </w:r>
      <w:r w:rsidR="007515DF" w:rsidRPr="002C0A70">
        <w:rPr>
          <w:rFonts w:ascii="David" w:eastAsia="Calibri" w:hAnsi="David" w:cs="David"/>
          <w:sz w:val="24"/>
          <w:szCs w:val="24"/>
          <w:rtl/>
        </w:rPr>
        <w:t>כונס הנכסים הרשמי</w:t>
      </w:r>
      <w:r w:rsidRPr="002C0A70">
        <w:rPr>
          <w:rFonts w:ascii="David" w:eastAsia="Calibri" w:hAnsi="David" w:cs="David"/>
          <w:sz w:val="24"/>
          <w:szCs w:val="24"/>
          <w:rtl/>
        </w:rPr>
        <w:t xml:space="preserve">; </w:t>
      </w:r>
      <w:r w:rsidR="007515DF" w:rsidRPr="002C0A70">
        <w:rPr>
          <w:rFonts w:ascii="David" w:eastAsia="Calibri" w:hAnsi="David" w:cs="David"/>
          <w:sz w:val="24"/>
          <w:szCs w:val="24"/>
          <w:rtl/>
        </w:rPr>
        <w:t>לשכות ההוצאה לפועל;</w:t>
      </w:r>
      <w:r w:rsidRPr="002C0A70">
        <w:rPr>
          <w:rFonts w:ascii="David" w:eastAsia="Calibri" w:hAnsi="David" w:cs="David"/>
          <w:sz w:val="24"/>
          <w:szCs w:val="24"/>
          <w:rtl/>
        </w:rPr>
        <w:t xml:space="preserve"> בנק </w:t>
      </w:r>
      <w:r w:rsidR="007515DF" w:rsidRPr="002C0A70">
        <w:rPr>
          <w:rFonts w:ascii="David" w:eastAsia="Calibri" w:hAnsi="David" w:cs="David"/>
          <w:sz w:val="24"/>
          <w:szCs w:val="24"/>
          <w:rtl/>
        </w:rPr>
        <w:t>י</w:t>
      </w:r>
      <w:r w:rsidRPr="002C0A70">
        <w:rPr>
          <w:rFonts w:ascii="David" w:eastAsia="Calibri" w:hAnsi="David" w:cs="David"/>
          <w:sz w:val="24"/>
          <w:szCs w:val="24"/>
          <w:rtl/>
        </w:rPr>
        <w:t>שראל</w:t>
      </w:r>
      <w:r w:rsidR="007515DF" w:rsidRPr="002C0A70">
        <w:rPr>
          <w:rFonts w:ascii="David" w:eastAsia="Calibri" w:hAnsi="David" w:cs="David"/>
          <w:sz w:val="24"/>
          <w:szCs w:val="24"/>
          <w:rtl/>
        </w:rPr>
        <w:t>;</w:t>
      </w:r>
      <w:r w:rsidRPr="002C0A70">
        <w:rPr>
          <w:rFonts w:ascii="David" w:eastAsia="Calibri" w:hAnsi="David" w:cs="David"/>
          <w:sz w:val="24"/>
          <w:szCs w:val="24"/>
          <w:rtl/>
        </w:rPr>
        <w:t xml:space="preserve"> </w:t>
      </w:r>
      <w:r w:rsidR="007515DF" w:rsidRPr="002C0A70">
        <w:rPr>
          <w:rFonts w:ascii="David" w:eastAsia="Calibri" w:hAnsi="David" w:cs="David"/>
          <w:sz w:val="24"/>
          <w:szCs w:val="24"/>
          <w:rtl/>
        </w:rPr>
        <w:t>בתי המשפט;</w:t>
      </w:r>
      <w:r w:rsidRPr="002C0A70">
        <w:rPr>
          <w:rFonts w:ascii="David" w:eastAsia="Calibri" w:hAnsi="David" w:cs="David"/>
          <w:sz w:val="24"/>
          <w:szCs w:val="24"/>
          <w:rtl/>
        </w:rPr>
        <w:t xml:space="preserve"> </w:t>
      </w:r>
      <w:r w:rsidR="007515DF" w:rsidRPr="002C0A70">
        <w:rPr>
          <w:rFonts w:ascii="David" w:eastAsia="Calibri" w:hAnsi="David" w:cs="David"/>
          <w:sz w:val="24"/>
          <w:szCs w:val="24"/>
          <w:rtl/>
        </w:rPr>
        <w:t>חברת חשמל;</w:t>
      </w:r>
      <w:r w:rsidRPr="002C0A70">
        <w:rPr>
          <w:rFonts w:ascii="David" w:eastAsia="Calibri" w:hAnsi="David" w:cs="David"/>
          <w:sz w:val="24"/>
          <w:szCs w:val="24"/>
          <w:rtl/>
        </w:rPr>
        <w:t xml:space="preserve"> </w:t>
      </w:r>
      <w:r w:rsidR="007515DF" w:rsidRPr="002C0A70">
        <w:rPr>
          <w:rFonts w:ascii="David" w:eastAsia="Calibri" w:hAnsi="David" w:cs="David"/>
          <w:sz w:val="24"/>
          <w:szCs w:val="24"/>
          <w:rtl/>
        </w:rPr>
        <w:t>בנק הדואר;</w:t>
      </w:r>
      <w:r w:rsidRPr="002C0A70">
        <w:rPr>
          <w:rFonts w:ascii="David" w:eastAsia="Calibri" w:hAnsi="David" w:cs="David"/>
          <w:sz w:val="24"/>
          <w:szCs w:val="24"/>
          <w:rtl/>
        </w:rPr>
        <w:t xml:space="preserve"> </w:t>
      </w:r>
      <w:r w:rsidR="007515DF" w:rsidRPr="002C0A70">
        <w:rPr>
          <w:rFonts w:ascii="David" w:eastAsia="Calibri" w:hAnsi="David" w:cs="David"/>
          <w:sz w:val="24"/>
          <w:szCs w:val="24"/>
          <w:rtl/>
        </w:rPr>
        <w:t>תאגידים בנקאיים;</w:t>
      </w:r>
      <w:r w:rsidRPr="002C0A70">
        <w:rPr>
          <w:rFonts w:ascii="David" w:eastAsia="Calibri" w:hAnsi="David" w:cs="David"/>
          <w:sz w:val="24"/>
          <w:szCs w:val="24"/>
          <w:rtl/>
        </w:rPr>
        <w:t xml:space="preserve"> </w:t>
      </w:r>
      <w:proofErr w:type="spellStart"/>
      <w:r w:rsidR="007515DF" w:rsidRPr="002C0A70">
        <w:rPr>
          <w:rFonts w:ascii="David" w:eastAsia="Calibri" w:hAnsi="David" w:cs="David"/>
          <w:sz w:val="24"/>
          <w:szCs w:val="24"/>
          <w:rtl/>
        </w:rPr>
        <w:t>מנפיקי</w:t>
      </w:r>
      <w:proofErr w:type="spellEnd"/>
      <w:r w:rsidR="007515DF" w:rsidRPr="002C0A70">
        <w:rPr>
          <w:rFonts w:ascii="David" w:eastAsia="Calibri" w:hAnsi="David" w:cs="David"/>
          <w:sz w:val="24"/>
          <w:szCs w:val="24"/>
          <w:rtl/>
        </w:rPr>
        <w:t xml:space="preserve"> כרטיסי חיוב;</w:t>
      </w:r>
      <w:r w:rsidRPr="002C0A70">
        <w:rPr>
          <w:rFonts w:ascii="David" w:eastAsia="Calibri" w:hAnsi="David" w:cs="David"/>
          <w:sz w:val="24"/>
          <w:szCs w:val="24"/>
          <w:rtl/>
        </w:rPr>
        <w:t xml:space="preserve"> </w:t>
      </w:r>
      <w:r w:rsidR="007515DF" w:rsidRPr="002C0A70">
        <w:rPr>
          <w:rFonts w:ascii="David" w:eastAsia="Calibri" w:hAnsi="David" w:cs="David"/>
          <w:sz w:val="24"/>
          <w:szCs w:val="24"/>
          <w:rtl/>
        </w:rPr>
        <w:t xml:space="preserve">מקור מוסמך הנותן אשראי קמעונאי. </w:t>
      </w:r>
      <w:r>
        <w:rPr>
          <w:rFonts w:ascii="David" w:eastAsia="Calibri" w:hAnsi="David" w:cs="David" w:hint="cs"/>
          <w:sz w:val="24"/>
          <w:szCs w:val="24"/>
          <w:rtl/>
        </w:rPr>
        <w:t xml:space="preserve">חוק נתוני האשראי החדש קובע כי הלקוח רשאי לבקש כי נתוני האשראי </w:t>
      </w:r>
      <w:r w:rsidR="004060AF">
        <w:rPr>
          <w:rFonts w:ascii="David" w:eastAsia="Calibri" w:hAnsi="David" w:cs="David" w:hint="cs"/>
          <w:sz w:val="24"/>
          <w:szCs w:val="24"/>
          <w:rtl/>
        </w:rPr>
        <w:t xml:space="preserve">שהועברו למאגר נתוני אשראי לא ייכללו בו. </w:t>
      </w:r>
      <w:r>
        <w:rPr>
          <w:rFonts w:ascii="David" w:eastAsia="Calibri" w:hAnsi="David" w:cs="David" w:hint="cs"/>
          <w:sz w:val="24"/>
          <w:szCs w:val="24"/>
          <w:rtl/>
        </w:rPr>
        <w:t xml:space="preserve">במקרה כזה, לא ישמור בנק ישראל </w:t>
      </w:r>
      <w:r>
        <w:rPr>
          <w:rStyle w:val="default"/>
          <w:rFonts w:ascii="David" w:hAnsi="David" w:cs="David"/>
          <w:sz w:val="24"/>
          <w:szCs w:val="24"/>
          <w:rtl/>
        </w:rPr>
        <w:t xml:space="preserve">נתוני אשראי </w:t>
      </w:r>
      <w:r>
        <w:rPr>
          <w:rStyle w:val="default"/>
          <w:rFonts w:ascii="David" w:hAnsi="David" w:cs="David" w:hint="cs"/>
          <w:sz w:val="24"/>
          <w:szCs w:val="24"/>
          <w:rtl/>
        </w:rPr>
        <w:t xml:space="preserve">לגביו שעברו למאגר לאחר מועד הגשת הבקשה. עוד </w:t>
      </w:r>
      <w:r w:rsidR="00A84A0A">
        <w:rPr>
          <w:rStyle w:val="default"/>
          <w:rFonts w:ascii="David" w:hAnsi="David" w:cs="David" w:hint="cs"/>
          <w:sz w:val="24"/>
          <w:szCs w:val="24"/>
          <w:rtl/>
        </w:rPr>
        <w:t>נקבע בהקשר זה,</w:t>
      </w:r>
      <w:r>
        <w:rPr>
          <w:rStyle w:val="default"/>
          <w:rFonts w:ascii="David" w:hAnsi="David" w:cs="David" w:hint="cs"/>
          <w:sz w:val="24"/>
          <w:szCs w:val="24"/>
          <w:rtl/>
        </w:rPr>
        <w:t xml:space="preserve"> כי אם הועברו למאגר נתוני אשראי </w:t>
      </w:r>
      <w:r w:rsidR="007515DF" w:rsidRPr="002C0A70">
        <w:rPr>
          <w:rStyle w:val="default"/>
          <w:rFonts w:ascii="David" w:hAnsi="David" w:cs="David"/>
          <w:sz w:val="24"/>
          <w:szCs w:val="24"/>
          <w:rtl/>
        </w:rPr>
        <w:t>המעידים באופן מובהק על כך שהלקוח אינו עומד בפירעון תשלומים שבהם התחייב, לא יהיה הלקוח זכאי להגיש בקשה לאי-הכללת נתונים עד תום שלוש שנים ממועד העברת הנתונים כאמור</w:t>
      </w:r>
      <w:r w:rsidR="0087247F">
        <w:rPr>
          <w:rStyle w:val="default"/>
          <w:rFonts w:ascii="David" w:hAnsi="David" w:cs="David" w:hint="cs"/>
          <w:sz w:val="24"/>
          <w:szCs w:val="24"/>
          <w:rtl/>
        </w:rPr>
        <w:t xml:space="preserve">. </w:t>
      </w:r>
    </w:p>
    <w:p w:rsidR="0087247F" w:rsidRPr="0010264C" w:rsidRDefault="0087247F" w:rsidP="00D4404D">
      <w:pPr>
        <w:widowControl w:val="0"/>
        <w:tabs>
          <w:tab w:val="left" w:pos="226"/>
          <w:tab w:val="center" w:pos="4153"/>
          <w:tab w:val="right" w:pos="8306"/>
        </w:tabs>
        <w:spacing w:after="120" w:line="360" w:lineRule="auto"/>
        <w:jc w:val="both"/>
        <w:rPr>
          <w:rStyle w:val="default"/>
          <w:rFonts w:ascii="David" w:hAnsi="David" w:cs="David"/>
          <w:sz w:val="24"/>
          <w:szCs w:val="24"/>
          <w:rtl/>
        </w:rPr>
      </w:pPr>
      <w:r>
        <w:rPr>
          <w:rStyle w:val="default"/>
          <w:rFonts w:ascii="David" w:hAnsi="David" w:cs="David" w:hint="cs"/>
          <w:sz w:val="24"/>
          <w:szCs w:val="24"/>
          <w:rtl/>
        </w:rPr>
        <w:t xml:space="preserve">עוד </w:t>
      </w:r>
      <w:r w:rsidR="00E878CA">
        <w:rPr>
          <w:rStyle w:val="default"/>
          <w:rFonts w:ascii="David" w:hAnsi="David" w:cs="David" w:hint="cs"/>
          <w:sz w:val="24"/>
          <w:szCs w:val="24"/>
          <w:rtl/>
        </w:rPr>
        <w:t>נקבע,</w:t>
      </w:r>
      <w:r>
        <w:rPr>
          <w:rStyle w:val="default"/>
          <w:rFonts w:ascii="David" w:hAnsi="David" w:cs="David" w:hint="cs"/>
          <w:sz w:val="24"/>
          <w:szCs w:val="24"/>
          <w:rtl/>
        </w:rPr>
        <w:t xml:space="preserve"> כי לא יועברו נתוני אשראי ל</w:t>
      </w:r>
      <w:r w:rsidR="00E878CA">
        <w:rPr>
          <w:rStyle w:val="default"/>
          <w:rFonts w:ascii="David" w:hAnsi="David" w:cs="David" w:hint="cs"/>
          <w:sz w:val="24"/>
          <w:szCs w:val="24"/>
          <w:rtl/>
        </w:rPr>
        <w:t>ג</w:t>
      </w:r>
      <w:r>
        <w:rPr>
          <w:rStyle w:val="default"/>
          <w:rFonts w:ascii="David" w:hAnsi="David" w:cs="David" w:hint="cs"/>
          <w:sz w:val="24"/>
          <w:szCs w:val="24"/>
          <w:rtl/>
        </w:rPr>
        <w:t>בי לקוח מהמאגר ללשכת האשראי ומלשכת האשראי לנותן האשראי אלא אם כן הלקוח נתן את הסכמתו המפורשת לכך שנתוני האשראי לגביו הכלולים ב</w:t>
      </w:r>
      <w:r w:rsidRPr="0010264C">
        <w:rPr>
          <w:rStyle w:val="default"/>
          <w:rFonts w:ascii="David" w:hAnsi="David" w:cs="David"/>
          <w:sz w:val="24"/>
          <w:szCs w:val="24"/>
          <w:rtl/>
        </w:rPr>
        <w:t xml:space="preserve">מאגר יימסרו ללשכת האשראי לשם עריכת דוח אשראי שיימסר לנותן האשראי. בהקשר זה, </w:t>
      </w:r>
      <w:r w:rsidR="00E878CA" w:rsidRPr="0010264C">
        <w:rPr>
          <w:rStyle w:val="default"/>
          <w:rFonts w:ascii="David" w:hAnsi="David" w:cs="David"/>
          <w:sz w:val="24"/>
          <w:szCs w:val="24"/>
          <w:rtl/>
        </w:rPr>
        <w:t>נקבע</w:t>
      </w:r>
      <w:r w:rsidRPr="0010264C">
        <w:rPr>
          <w:rStyle w:val="default"/>
          <w:rFonts w:ascii="David" w:hAnsi="David" w:cs="David"/>
          <w:sz w:val="24"/>
          <w:szCs w:val="24"/>
          <w:rtl/>
        </w:rPr>
        <w:t xml:space="preserve"> כי לשכת אשראי לא תביא בחשבון נתונים בדבר מינו, גילו, נטייתו המינית, גזעו, דתו, ארץ מוצאו, לאומיותו, מקום מגוריו ומצבו המשפחתי או הבריאותי של לקוח, לעניין המודל הסטטיסטי שלה הדרוש לה למתן שירותים המתבססים על נתוני האשראי. </w:t>
      </w:r>
    </w:p>
    <w:p w:rsidR="0087247F" w:rsidRPr="0010264C" w:rsidRDefault="0087247F" w:rsidP="00D4404D">
      <w:pPr>
        <w:widowControl w:val="0"/>
        <w:tabs>
          <w:tab w:val="left" w:pos="226"/>
          <w:tab w:val="center" w:pos="4153"/>
          <w:tab w:val="right" w:pos="8306"/>
        </w:tabs>
        <w:spacing w:after="120" w:line="360" w:lineRule="auto"/>
        <w:jc w:val="both"/>
        <w:rPr>
          <w:rStyle w:val="default"/>
          <w:rFonts w:ascii="David" w:hAnsi="David" w:cs="David"/>
          <w:sz w:val="24"/>
          <w:szCs w:val="24"/>
          <w:rtl/>
        </w:rPr>
      </w:pPr>
      <w:r w:rsidRPr="0010264C">
        <w:rPr>
          <w:rStyle w:val="default"/>
          <w:rFonts w:ascii="David" w:hAnsi="David" w:cs="David"/>
          <w:sz w:val="24"/>
          <w:szCs w:val="24"/>
          <w:rtl/>
        </w:rPr>
        <w:t xml:space="preserve">עוד קובע חוק נתוני אשראי החדש כי נגיד בנק ישראל ימנה ממונה על שיתוף בנתוני אשראי אשר יפעל לשם אבטחת המידע, ההגנה על פרטיות הלקוחות ושמירה על עניינם של הלקוחות ומשתמשים בנתוני אשראי. </w:t>
      </w:r>
      <w:bookmarkStart w:id="1" w:name="Seif50"/>
      <w:bookmarkEnd w:id="1"/>
    </w:p>
    <w:p w:rsidR="00256832" w:rsidRPr="0010264C" w:rsidRDefault="00D4404D" w:rsidP="00CD248D">
      <w:pPr>
        <w:widowControl w:val="0"/>
        <w:tabs>
          <w:tab w:val="left" w:pos="226"/>
          <w:tab w:val="center" w:pos="4153"/>
          <w:tab w:val="right" w:pos="8306"/>
        </w:tabs>
        <w:spacing w:after="120" w:line="360" w:lineRule="auto"/>
        <w:jc w:val="both"/>
        <w:rPr>
          <w:rStyle w:val="default"/>
          <w:rFonts w:ascii="David" w:hAnsi="David" w:cs="David"/>
          <w:sz w:val="24"/>
          <w:szCs w:val="24"/>
          <w:rtl/>
        </w:rPr>
      </w:pPr>
      <w:r w:rsidRPr="0010264C">
        <w:rPr>
          <w:rStyle w:val="default"/>
          <w:rFonts w:ascii="David" w:hAnsi="David" w:cs="David"/>
          <w:sz w:val="24"/>
          <w:szCs w:val="24"/>
          <w:rtl/>
        </w:rPr>
        <w:t>נוסח חוק נתוני אשראי החדש</w:t>
      </w:r>
      <w:r w:rsidR="000E6335" w:rsidRPr="0010264C">
        <w:rPr>
          <w:rStyle w:val="default"/>
          <w:rFonts w:ascii="David" w:hAnsi="David" w:cs="David"/>
          <w:sz w:val="24"/>
          <w:szCs w:val="24"/>
          <w:rtl/>
        </w:rPr>
        <w:t xml:space="preserve"> מצ"ב בקישור </w:t>
      </w:r>
      <w:hyperlink r:id="rId9" w:history="1">
        <w:r w:rsidR="000E6335" w:rsidRPr="0010264C">
          <w:rPr>
            <w:rStyle w:val="Hyperlink"/>
            <w:rFonts w:ascii="David" w:hAnsi="David" w:cs="David"/>
            <w:sz w:val="24"/>
            <w:szCs w:val="24"/>
            <w:rtl/>
          </w:rPr>
          <w:t>הבא</w:t>
        </w:r>
      </w:hyperlink>
      <w:r w:rsidR="0010264C" w:rsidRPr="0010264C">
        <w:rPr>
          <w:rStyle w:val="default"/>
          <w:rFonts w:ascii="David" w:hAnsi="David" w:cs="David"/>
          <w:sz w:val="24"/>
          <w:szCs w:val="24"/>
          <w:rtl/>
        </w:rPr>
        <w:t xml:space="preserve">. </w:t>
      </w:r>
    </w:p>
    <w:p w:rsidR="0010264C" w:rsidRPr="0010264C" w:rsidRDefault="0010264C" w:rsidP="004060AF">
      <w:pPr>
        <w:widowControl w:val="0"/>
        <w:tabs>
          <w:tab w:val="left" w:pos="226"/>
          <w:tab w:val="center" w:pos="4153"/>
          <w:tab w:val="right" w:pos="8306"/>
        </w:tabs>
        <w:spacing w:after="120" w:line="360" w:lineRule="auto"/>
        <w:jc w:val="both"/>
        <w:rPr>
          <w:rStyle w:val="default"/>
          <w:rFonts w:ascii="David" w:hAnsi="David" w:cs="David"/>
          <w:sz w:val="24"/>
          <w:szCs w:val="24"/>
          <w:rtl/>
        </w:rPr>
      </w:pPr>
      <w:r w:rsidRPr="0010264C">
        <w:rPr>
          <w:rStyle w:val="default"/>
          <w:rFonts w:ascii="David" w:hAnsi="David" w:cs="David"/>
          <w:sz w:val="24"/>
          <w:szCs w:val="24"/>
          <w:rtl/>
        </w:rPr>
        <w:t xml:space="preserve">עמותת ידיד עמותה שהוקמה בשנת 1997 על בסיס החזון לצמצום פערים חברתיים וקידום יכולות כלכליות של אוכלוסיות מוחלשות בישראל, נטלה חלק פעיל בדיוני וועדת הכלכלה אשר עמלה על חקיקתו של חוק נתוני אשראי. במסגרת זו, הציעה עמותת ידיד כי המדינה תקים קרן הלוואות למשקי בית מודרי אשראי שתאפשר להם לקבל סיוע כספי במקרים בלתי </w:t>
      </w:r>
      <w:proofErr w:type="spellStart"/>
      <w:r w:rsidRPr="0010264C">
        <w:rPr>
          <w:rStyle w:val="default"/>
          <w:rFonts w:ascii="David" w:hAnsi="David" w:cs="David"/>
          <w:sz w:val="24"/>
          <w:szCs w:val="24"/>
          <w:rtl/>
        </w:rPr>
        <w:t>צפוים</w:t>
      </w:r>
      <w:proofErr w:type="spellEnd"/>
      <w:r w:rsidRPr="0010264C">
        <w:rPr>
          <w:rStyle w:val="default"/>
          <w:rFonts w:ascii="David" w:hAnsi="David" w:cs="David"/>
          <w:sz w:val="24"/>
          <w:szCs w:val="24"/>
          <w:rtl/>
        </w:rPr>
        <w:t xml:space="preserve"> בשגרת החיים, דוגמת טיפולים רפואיים נחוצים. מטרת הקרן היא </w:t>
      </w:r>
      <w:proofErr w:type="spellStart"/>
      <w:r w:rsidRPr="0010264C">
        <w:rPr>
          <w:rStyle w:val="default"/>
          <w:rFonts w:ascii="David" w:hAnsi="David" w:cs="David"/>
          <w:sz w:val="24"/>
          <w:szCs w:val="24"/>
          <w:rtl/>
        </w:rPr>
        <w:t>להנגיש</w:t>
      </w:r>
      <w:proofErr w:type="spellEnd"/>
      <w:r w:rsidRPr="0010264C">
        <w:rPr>
          <w:rStyle w:val="default"/>
          <w:rFonts w:ascii="David" w:hAnsi="David" w:cs="David"/>
          <w:sz w:val="24"/>
          <w:szCs w:val="24"/>
          <w:rtl/>
        </w:rPr>
        <w:t xml:space="preserve"> אשראי, למבקשי הלוואות, שאינם מצליחים לקבל אשראי בנקאי בשל דירוג אשראי נמוך. קבלת ההלוואה במסגר</w:t>
      </w:r>
      <w:r w:rsidR="004060AF">
        <w:rPr>
          <w:rStyle w:val="default"/>
          <w:rFonts w:ascii="David" w:hAnsi="David" w:cs="David"/>
          <w:sz w:val="24"/>
          <w:szCs w:val="24"/>
          <w:rtl/>
        </w:rPr>
        <w:t>ת הקרן ועמידה בתנאי ההחזר, תסייע למשקי הבית</w:t>
      </w:r>
      <w:r w:rsidR="004060AF">
        <w:rPr>
          <w:rStyle w:val="default"/>
          <w:rFonts w:ascii="David" w:hAnsi="David" w:cs="David" w:hint="cs"/>
          <w:sz w:val="24"/>
          <w:szCs w:val="24"/>
          <w:rtl/>
        </w:rPr>
        <w:t xml:space="preserve"> </w:t>
      </w:r>
      <w:r w:rsidRPr="0010264C">
        <w:rPr>
          <w:rStyle w:val="default"/>
          <w:rFonts w:ascii="David" w:hAnsi="David" w:cs="David"/>
          <w:sz w:val="24"/>
          <w:szCs w:val="24"/>
          <w:rtl/>
        </w:rPr>
        <w:t>לשפר את דירוג האשראי שלהם</w:t>
      </w:r>
      <w:r w:rsidR="004060AF">
        <w:rPr>
          <w:rStyle w:val="default"/>
          <w:rFonts w:ascii="David" w:hAnsi="David" w:cs="David" w:hint="cs"/>
          <w:sz w:val="24"/>
          <w:szCs w:val="24"/>
          <w:rtl/>
        </w:rPr>
        <w:t xml:space="preserve">. </w:t>
      </w:r>
    </w:p>
    <w:p w:rsidR="0010264C" w:rsidRPr="0010264C" w:rsidRDefault="004060AF" w:rsidP="004060AF">
      <w:pPr>
        <w:widowControl w:val="0"/>
        <w:tabs>
          <w:tab w:val="left" w:pos="226"/>
          <w:tab w:val="center" w:pos="4153"/>
          <w:tab w:val="right" w:pos="8306"/>
        </w:tabs>
        <w:spacing w:after="120" w:line="360" w:lineRule="auto"/>
        <w:jc w:val="both"/>
        <w:rPr>
          <w:rStyle w:val="default"/>
          <w:rFonts w:ascii="David" w:hAnsi="David" w:cs="David"/>
          <w:sz w:val="24"/>
          <w:szCs w:val="24"/>
          <w:rtl/>
        </w:rPr>
      </w:pPr>
      <w:r>
        <w:rPr>
          <w:rStyle w:val="default"/>
          <w:rFonts w:ascii="David" w:hAnsi="David" w:cs="David" w:hint="cs"/>
          <w:sz w:val="24"/>
          <w:szCs w:val="24"/>
          <w:rtl/>
        </w:rPr>
        <w:t>בחודש מאי 2016,</w:t>
      </w:r>
      <w:r w:rsidR="0010264C" w:rsidRPr="0010264C">
        <w:rPr>
          <w:rStyle w:val="default"/>
          <w:rFonts w:ascii="David" w:hAnsi="David" w:cs="David"/>
          <w:sz w:val="24"/>
          <w:szCs w:val="24"/>
          <w:rtl/>
        </w:rPr>
        <w:t xml:space="preserve"> הודיעו שר האוצר, מר משה כחלון ויו"ר ועדת הכלכלה בכנסת מר איתן כבל, כי במקביל לחקיקת חוק נתוני אשראי, התשע"ו-2016, יפעל משרד האוצר בשיתוף הכנסת על הקמת </w:t>
      </w:r>
      <w:r w:rsidR="0010264C" w:rsidRPr="0010264C">
        <w:rPr>
          <w:rStyle w:val="default"/>
          <w:rFonts w:ascii="David" w:hAnsi="David" w:cs="David"/>
          <w:sz w:val="24"/>
          <w:szCs w:val="24"/>
          <w:rtl/>
        </w:rPr>
        <w:lastRenderedPageBreak/>
        <w:t xml:space="preserve">קרן בערבות המדינה שתכליתה לתמוך </w:t>
      </w:r>
      <w:proofErr w:type="spellStart"/>
      <w:r w:rsidR="0010264C" w:rsidRPr="0010264C">
        <w:rPr>
          <w:rStyle w:val="default"/>
          <w:rFonts w:ascii="David" w:hAnsi="David" w:cs="David"/>
          <w:sz w:val="24"/>
          <w:szCs w:val="24"/>
          <w:rtl/>
        </w:rPr>
        <w:t>במודרי</w:t>
      </w:r>
      <w:proofErr w:type="spellEnd"/>
      <w:r w:rsidR="0010264C" w:rsidRPr="0010264C">
        <w:rPr>
          <w:rStyle w:val="default"/>
          <w:rFonts w:ascii="David" w:hAnsi="David" w:cs="David"/>
          <w:sz w:val="24"/>
          <w:szCs w:val="24"/>
          <w:rtl/>
        </w:rPr>
        <w:t xml:space="preserve"> אשראי בישראל. על פי ההכרזה המשותפת, משרד האוצר בשיתוף הבנקים בישראל יקימו קרן שתכליתה לסייע למודרי האשראי בקבלת אשראי בנקאי. על פי ההצעה, המדינה תשקיע בקרן 50 מיליון שקל, בהשקעה ישירה או בהשקעה כערבות מדינה. </w:t>
      </w:r>
    </w:p>
    <w:p w:rsidR="0010264C" w:rsidRPr="0010264C" w:rsidRDefault="0010264C" w:rsidP="0010264C">
      <w:pPr>
        <w:widowControl w:val="0"/>
        <w:tabs>
          <w:tab w:val="left" w:pos="226"/>
          <w:tab w:val="center" w:pos="4153"/>
          <w:tab w:val="right" w:pos="8306"/>
        </w:tabs>
        <w:spacing w:after="120" w:line="360" w:lineRule="auto"/>
        <w:jc w:val="both"/>
        <w:rPr>
          <w:rStyle w:val="default"/>
          <w:rFonts w:ascii="David" w:hAnsi="David" w:cs="David"/>
          <w:b/>
          <w:bCs/>
          <w:sz w:val="24"/>
          <w:szCs w:val="24"/>
          <w:u w:val="single"/>
          <w:rtl/>
        </w:rPr>
      </w:pPr>
      <w:r w:rsidRPr="0010264C">
        <w:rPr>
          <w:rStyle w:val="default"/>
          <w:rFonts w:ascii="David" w:hAnsi="David" w:cs="David"/>
          <w:b/>
          <w:bCs/>
          <w:sz w:val="24"/>
          <w:szCs w:val="24"/>
          <w:u w:val="single"/>
          <w:rtl/>
        </w:rPr>
        <w:t>לצורך הדיון, אירוע זה מניח כי הוקמה הקרן הייעודית למודרי אשראי וננקטו כל הצעדים המשפטיים הדרושים לשם כך</w:t>
      </w:r>
      <w:r w:rsidRPr="0010264C">
        <w:rPr>
          <w:rStyle w:val="default"/>
          <w:rFonts w:ascii="David" w:hAnsi="David" w:cs="David"/>
          <w:b/>
          <w:bCs/>
          <w:sz w:val="24"/>
          <w:szCs w:val="24"/>
          <w:rtl/>
        </w:rPr>
        <w:t xml:space="preserve">. </w:t>
      </w:r>
    </w:p>
    <w:p w:rsidR="00256832" w:rsidRPr="0010264C" w:rsidRDefault="00256832" w:rsidP="00D4404D">
      <w:pPr>
        <w:widowControl w:val="0"/>
        <w:tabs>
          <w:tab w:val="left" w:pos="226"/>
          <w:tab w:val="center" w:pos="4153"/>
          <w:tab w:val="right" w:pos="8306"/>
        </w:tabs>
        <w:spacing w:after="120" w:line="360" w:lineRule="auto"/>
        <w:jc w:val="both"/>
        <w:rPr>
          <w:rStyle w:val="default"/>
          <w:rFonts w:ascii="David" w:hAnsi="David" w:cs="David"/>
          <w:sz w:val="28"/>
          <w:szCs w:val="28"/>
          <w:u w:val="single"/>
          <w:rtl/>
        </w:rPr>
      </w:pPr>
      <w:r w:rsidRPr="0010264C">
        <w:rPr>
          <w:rStyle w:val="default"/>
          <w:rFonts w:ascii="David" w:hAnsi="David" w:cs="David"/>
          <w:sz w:val="28"/>
          <w:szCs w:val="28"/>
          <w:u w:val="single"/>
          <w:rtl/>
        </w:rPr>
        <w:t>העתירה</w:t>
      </w:r>
    </w:p>
    <w:p w:rsidR="002A5640" w:rsidRPr="0010264C" w:rsidRDefault="00D4404D" w:rsidP="004060AF">
      <w:pPr>
        <w:widowControl w:val="0"/>
        <w:tabs>
          <w:tab w:val="left" w:pos="226"/>
          <w:tab w:val="center" w:pos="4153"/>
          <w:tab w:val="right" w:pos="8306"/>
        </w:tabs>
        <w:spacing w:after="120" w:line="360" w:lineRule="auto"/>
        <w:jc w:val="both"/>
        <w:rPr>
          <w:rStyle w:val="default"/>
          <w:rFonts w:ascii="David" w:hAnsi="David" w:cs="David"/>
          <w:sz w:val="24"/>
          <w:szCs w:val="24"/>
          <w:rtl/>
        </w:rPr>
      </w:pPr>
      <w:r w:rsidRPr="0010264C">
        <w:rPr>
          <w:rStyle w:val="default"/>
          <w:rFonts w:ascii="David" w:hAnsi="David" w:cs="David"/>
          <w:sz w:val="24"/>
          <w:szCs w:val="24"/>
          <w:rtl/>
        </w:rPr>
        <w:t xml:space="preserve">בחודש יוני 2016 פרסם בנק ישראל הוראת שעה לצורך הקמת מאגר המידע המרכזי לנתוני אשראי בהתאם להוראות חוק נתוני אשראי החדש. הוראת שעה זו מורה לבנקים ולחברות כרטיסי האשראי בישראל לאסוף ולשמור נתוני אשראי אודות לקוחותיהם לצורך הכללתם במאגר נתוני אשראי שצפוי לעלות בשנת 2018. </w:t>
      </w:r>
      <w:r w:rsidR="002A5640" w:rsidRPr="0010264C">
        <w:rPr>
          <w:rStyle w:val="default"/>
          <w:rFonts w:ascii="David" w:hAnsi="David" w:cs="David"/>
          <w:sz w:val="24"/>
          <w:szCs w:val="24"/>
          <w:rtl/>
        </w:rPr>
        <w:t xml:space="preserve">בחודש אוגוסט 2016 </w:t>
      </w:r>
      <w:r w:rsidR="00AA153C" w:rsidRPr="0010264C">
        <w:rPr>
          <w:rStyle w:val="default"/>
          <w:rFonts w:ascii="David" w:hAnsi="David" w:cs="David"/>
          <w:sz w:val="24"/>
          <w:szCs w:val="24"/>
          <w:rtl/>
        </w:rPr>
        <w:t>פרסם</w:t>
      </w:r>
      <w:r w:rsidR="002A5640" w:rsidRPr="0010264C">
        <w:rPr>
          <w:rStyle w:val="default"/>
          <w:rFonts w:ascii="David" w:hAnsi="David" w:cs="David"/>
          <w:sz w:val="24"/>
          <w:szCs w:val="24"/>
          <w:rtl/>
        </w:rPr>
        <w:t xml:space="preserve"> בנק ישראל</w:t>
      </w:r>
      <w:r w:rsidR="00AA153C" w:rsidRPr="0010264C">
        <w:rPr>
          <w:rStyle w:val="default"/>
          <w:rFonts w:ascii="David" w:hAnsi="David" w:cs="David"/>
          <w:sz w:val="24"/>
          <w:szCs w:val="24"/>
          <w:rtl/>
        </w:rPr>
        <w:t xml:space="preserve"> מכרז להקמת מאגר נתוני האשראי</w:t>
      </w:r>
      <w:r w:rsidR="002A5640" w:rsidRPr="0010264C">
        <w:rPr>
          <w:rStyle w:val="default"/>
          <w:rFonts w:ascii="David" w:hAnsi="David" w:cs="David"/>
          <w:sz w:val="24"/>
          <w:szCs w:val="24"/>
          <w:rtl/>
        </w:rPr>
        <w:t xml:space="preserve"> החדש. במסגרת מסמכי המכרז נדרשים המתמודדים להתחייב כי יקימו את מאגר נתוני אשראי החדש בתוך שנה וחצי ויתחזקו אותו במשך שלוש שנים.  </w:t>
      </w:r>
    </w:p>
    <w:p w:rsidR="00E03695" w:rsidRPr="0010264C" w:rsidRDefault="00E03695" w:rsidP="00D4404D">
      <w:pPr>
        <w:widowControl w:val="0"/>
        <w:tabs>
          <w:tab w:val="left" w:pos="226"/>
          <w:tab w:val="center" w:pos="4153"/>
          <w:tab w:val="right" w:pos="8306"/>
        </w:tabs>
        <w:spacing w:after="120" w:line="360" w:lineRule="auto"/>
        <w:jc w:val="both"/>
        <w:rPr>
          <w:rStyle w:val="default"/>
          <w:rFonts w:ascii="David" w:hAnsi="David" w:cs="David"/>
          <w:sz w:val="24"/>
          <w:szCs w:val="24"/>
          <w:rtl/>
        </w:rPr>
      </w:pPr>
      <w:r w:rsidRPr="0010264C">
        <w:rPr>
          <w:rStyle w:val="default"/>
          <w:rFonts w:ascii="David" w:hAnsi="David" w:cs="David"/>
          <w:b/>
          <w:bCs/>
          <w:sz w:val="24"/>
          <w:szCs w:val="24"/>
          <w:u w:val="single"/>
          <w:rtl/>
        </w:rPr>
        <w:t>לצורך הדיון, אירוע זה מניח כי חוק נתוני אשראי נכנס לתוקף ביום 1 בינואר 2017 לאחר הקמתה של מערכת לשיתוף בנתוני אשראי על ידי בנק ישראל</w:t>
      </w:r>
      <w:r w:rsidRPr="0010264C">
        <w:rPr>
          <w:rStyle w:val="default"/>
          <w:rFonts w:ascii="David" w:hAnsi="David" w:cs="David"/>
          <w:sz w:val="24"/>
          <w:szCs w:val="24"/>
          <w:rtl/>
        </w:rPr>
        <w:t>.</w:t>
      </w:r>
    </w:p>
    <w:p w:rsidR="00256832" w:rsidRPr="00FF607B" w:rsidRDefault="002A5640" w:rsidP="00FF607B">
      <w:pPr>
        <w:widowControl w:val="0"/>
        <w:tabs>
          <w:tab w:val="left" w:pos="226"/>
          <w:tab w:val="center" w:pos="4153"/>
          <w:tab w:val="right" w:pos="8306"/>
        </w:tabs>
        <w:spacing w:after="120" w:line="360" w:lineRule="auto"/>
        <w:jc w:val="both"/>
        <w:rPr>
          <w:rFonts w:ascii="David" w:eastAsia="Times New Roman" w:hAnsi="David" w:cs="David"/>
          <w:sz w:val="24"/>
          <w:szCs w:val="24"/>
          <w:rtl/>
        </w:rPr>
      </w:pPr>
      <w:r w:rsidRPr="0010264C">
        <w:rPr>
          <w:rStyle w:val="default"/>
          <w:rFonts w:ascii="David" w:hAnsi="David" w:cs="David"/>
          <w:b/>
          <w:bCs/>
          <w:sz w:val="24"/>
          <w:szCs w:val="24"/>
          <w:rtl/>
        </w:rPr>
        <w:t xml:space="preserve">העמותה לקידום צרכנות נבונה בישראל </w:t>
      </w:r>
      <w:r w:rsidR="00E03695" w:rsidRPr="0010264C">
        <w:rPr>
          <w:rStyle w:val="default"/>
          <w:rFonts w:ascii="David" w:hAnsi="David" w:cs="David"/>
          <w:sz w:val="24"/>
          <w:szCs w:val="24"/>
          <w:rtl/>
        </w:rPr>
        <w:t>(להלן: "</w:t>
      </w:r>
      <w:r w:rsidR="00E03695" w:rsidRPr="0010264C">
        <w:rPr>
          <w:rStyle w:val="default"/>
          <w:rFonts w:ascii="David" w:hAnsi="David" w:cs="David"/>
          <w:b/>
          <w:bCs/>
          <w:sz w:val="24"/>
          <w:szCs w:val="24"/>
          <w:rtl/>
        </w:rPr>
        <w:t>העותרת</w:t>
      </w:r>
      <w:r w:rsidR="00E03695" w:rsidRPr="0010264C">
        <w:rPr>
          <w:rStyle w:val="default"/>
          <w:rFonts w:ascii="David" w:hAnsi="David" w:cs="David"/>
          <w:sz w:val="24"/>
          <w:szCs w:val="24"/>
          <w:rtl/>
        </w:rPr>
        <w:t xml:space="preserve">") </w:t>
      </w:r>
      <w:r w:rsidRPr="0010264C">
        <w:rPr>
          <w:rStyle w:val="default"/>
          <w:rFonts w:ascii="David" w:hAnsi="David" w:cs="David"/>
          <w:sz w:val="24"/>
          <w:szCs w:val="24"/>
          <w:rtl/>
        </w:rPr>
        <w:t>הפועלת מזה שנים מספר להגנת הצרכנים ושמירה על זכויותיהם מבקשת לעתור לבג"ץ בטענה שחוק נתוני אשראי אינו חוקתי.</w:t>
      </w:r>
      <w:r w:rsidR="00E03695" w:rsidRPr="0010264C">
        <w:rPr>
          <w:rStyle w:val="default"/>
          <w:rFonts w:ascii="David" w:hAnsi="David" w:cs="David"/>
          <w:sz w:val="24"/>
          <w:szCs w:val="24"/>
          <w:rtl/>
        </w:rPr>
        <w:t xml:space="preserve"> בחודש ינואר 2017 הגישה</w:t>
      </w:r>
      <w:r w:rsidRPr="0010264C">
        <w:rPr>
          <w:rStyle w:val="default"/>
          <w:rFonts w:ascii="David" w:hAnsi="David" w:cs="David"/>
          <w:sz w:val="24"/>
          <w:szCs w:val="24"/>
          <w:rtl/>
        </w:rPr>
        <w:t xml:space="preserve"> </w:t>
      </w:r>
      <w:r w:rsidR="00E03695" w:rsidRPr="0010264C">
        <w:rPr>
          <w:rStyle w:val="default"/>
          <w:rFonts w:ascii="David" w:hAnsi="David" w:cs="David"/>
          <w:sz w:val="24"/>
          <w:szCs w:val="24"/>
          <w:rtl/>
        </w:rPr>
        <w:t xml:space="preserve">העותרת את </w:t>
      </w:r>
      <w:r w:rsidR="00FF607B">
        <w:rPr>
          <w:rStyle w:val="default"/>
          <w:rFonts w:ascii="David" w:hAnsi="David" w:cs="David" w:hint="cs"/>
          <w:sz w:val="24"/>
          <w:szCs w:val="24"/>
          <w:rtl/>
        </w:rPr>
        <w:t>ה</w:t>
      </w:r>
      <w:r w:rsidR="00E03695" w:rsidRPr="0010264C">
        <w:rPr>
          <w:rStyle w:val="default"/>
          <w:rFonts w:ascii="David" w:hAnsi="David" w:cs="David"/>
          <w:sz w:val="24"/>
          <w:szCs w:val="24"/>
          <w:rtl/>
        </w:rPr>
        <w:t xml:space="preserve">עתירה וטענה כי </w:t>
      </w:r>
      <w:r w:rsidR="00FF607B">
        <w:rPr>
          <w:rStyle w:val="default"/>
          <w:rFonts w:ascii="David" w:hAnsi="David" w:cs="David" w:hint="cs"/>
          <w:sz w:val="24"/>
          <w:szCs w:val="24"/>
          <w:rtl/>
        </w:rPr>
        <w:t>בשל</w:t>
      </w:r>
      <w:r w:rsidRPr="0010264C">
        <w:rPr>
          <w:rStyle w:val="default"/>
          <w:rFonts w:ascii="David" w:hAnsi="David" w:cs="David"/>
          <w:sz w:val="24"/>
          <w:szCs w:val="24"/>
          <w:rtl/>
        </w:rPr>
        <w:t xml:space="preserve"> העובדה שחוק נתוני אשראי מאפשר העברה אוטומטית של מידע ללא אישור הלקוחות, החוק פוגע בזכויותיהם החוקתיות לפרטיות</w:t>
      </w:r>
      <w:r w:rsidR="004060AF">
        <w:rPr>
          <w:rStyle w:val="default"/>
          <w:rFonts w:ascii="David" w:hAnsi="David" w:cs="David" w:hint="cs"/>
          <w:sz w:val="24"/>
          <w:szCs w:val="24"/>
          <w:rtl/>
        </w:rPr>
        <w:t>, שוויון, שם טוב וכבוד האדם</w:t>
      </w:r>
      <w:r w:rsidR="00FF607B">
        <w:rPr>
          <w:rStyle w:val="default"/>
          <w:rFonts w:ascii="David" w:hAnsi="David" w:cs="David" w:hint="cs"/>
          <w:sz w:val="24"/>
          <w:szCs w:val="24"/>
          <w:rtl/>
        </w:rPr>
        <w:t>. במיוחד אמור הדבר</w:t>
      </w:r>
      <w:r w:rsidRPr="0010264C">
        <w:rPr>
          <w:rStyle w:val="default"/>
          <w:rFonts w:ascii="David" w:hAnsi="David" w:cs="David"/>
          <w:sz w:val="24"/>
          <w:szCs w:val="24"/>
          <w:rtl/>
        </w:rPr>
        <w:t xml:space="preserve"> לאור החשש המידי מפני זליגת המידע וסחר בו. עוד טוענת העותרת, כי חוק נת</w:t>
      </w:r>
      <w:r w:rsidR="00FF607B">
        <w:rPr>
          <w:rStyle w:val="default"/>
          <w:rFonts w:ascii="David" w:hAnsi="David" w:cs="David"/>
          <w:sz w:val="24"/>
          <w:szCs w:val="24"/>
          <w:rtl/>
        </w:rPr>
        <w:t>וני אשראי החדש עלול לפגוע ב</w:t>
      </w:r>
      <w:r w:rsidR="00FF607B">
        <w:rPr>
          <w:rStyle w:val="default"/>
          <w:rFonts w:ascii="David" w:hAnsi="David" w:cs="David" w:hint="cs"/>
          <w:sz w:val="24"/>
          <w:szCs w:val="24"/>
          <w:rtl/>
        </w:rPr>
        <w:t>עיקר</w:t>
      </w:r>
      <w:r w:rsidRPr="0010264C">
        <w:rPr>
          <w:rStyle w:val="default"/>
          <w:rFonts w:ascii="David" w:hAnsi="David" w:cs="David"/>
          <w:sz w:val="24"/>
          <w:szCs w:val="24"/>
          <w:rtl/>
        </w:rPr>
        <w:t xml:space="preserve"> באוכלוסייה ממעמד סוציו-אקונומי נמוך </w:t>
      </w:r>
      <w:r w:rsidRPr="0010264C">
        <w:rPr>
          <w:rFonts w:ascii="David" w:hAnsi="David" w:cs="David"/>
          <w:sz w:val="24"/>
          <w:szCs w:val="24"/>
          <w:rtl/>
        </w:rPr>
        <w:t xml:space="preserve">משום שהוא עתיד להביא לייקור הריבית שיידרשו לשלם או אף לכך שלא יוכלו לקבל אשראי כלל, באופן שיחמיר את מצבם. לפיכך, </w:t>
      </w:r>
      <w:r w:rsidR="00A84A0A" w:rsidRPr="0010264C">
        <w:rPr>
          <w:rFonts w:ascii="David" w:hAnsi="David" w:cs="David"/>
          <w:sz w:val="24"/>
          <w:szCs w:val="24"/>
          <w:rtl/>
        </w:rPr>
        <w:t xml:space="preserve">לטענת העותרת, </w:t>
      </w:r>
      <w:r w:rsidRPr="0010264C">
        <w:rPr>
          <w:rFonts w:ascii="David" w:hAnsi="David" w:cs="David"/>
          <w:sz w:val="24"/>
          <w:szCs w:val="24"/>
          <w:rtl/>
        </w:rPr>
        <w:t xml:space="preserve">אין זה ברור אם חוק נתוני אשראי החדש </w:t>
      </w:r>
      <w:r w:rsidR="00C05347" w:rsidRPr="0010264C">
        <w:rPr>
          <w:rFonts w:ascii="David" w:hAnsi="David" w:cs="David"/>
          <w:sz w:val="24"/>
          <w:szCs w:val="24"/>
          <w:rtl/>
        </w:rPr>
        <w:t xml:space="preserve">אכן יגשים את מטרתו העיקרית והיא הגברת התחרות בשוק נותני האשראי והוזלת </w:t>
      </w:r>
      <w:r w:rsidR="00E03695" w:rsidRPr="0010264C">
        <w:rPr>
          <w:rFonts w:ascii="David" w:hAnsi="David" w:cs="David"/>
          <w:sz w:val="24"/>
          <w:szCs w:val="24"/>
          <w:rtl/>
        </w:rPr>
        <w:t>הריבית על האשראי למגזר הקמעונאי. ב</w:t>
      </w:r>
      <w:r w:rsidR="004060AF">
        <w:rPr>
          <w:rFonts w:ascii="David" w:hAnsi="David" w:cs="David"/>
          <w:sz w:val="24"/>
          <w:szCs w:val="24"/>
          <w:rtl/>
        </w:rPr>
        <w:t xml:space="preserve">יום 1 </w:t>
      </w:r>
      <w:r w:rsidR="004060AF">
        <w:rPr>
          <w:rFonts w:ascii="David" w:hAnsi="David" w:cs="David" w:hint="cs"/>
          <w:sz w:val="24"/>
          <w:szCs w:val="24"/>
          <w:rtl/>
        </w:rPr>
        <w:t>ב</w:t>
      </w:r>
      <w:r w:rsidR="00E03695" w:rsidRPr="0010264C">
        <w:rPr>
          <w:rFonts w:ascii="David" w:hAnsi="David" w:cs="David"/>
          <w:sz w:val="24"/>
          <w:szCs w:val="24"/>
          <w:rtl/>
        </w:rPr>
        <w:t>פברואר 2017 התנהל דיון מקדמי בעתירה שבסופו החליט בית המשפט להוציא צו על תנאי שבגדרו נדרשו המשיבים להתייצב "</w:t>
      </w:r>
      <w:proofErr w:type="spellStart"/>
      <w:r w:rsidR="00E03695" w:rsidRPr="0010264C">
        <w:rPr>
          <w:rFonts w:ascii="David" w:hAnsi="David" w:cs="David"/>
          <w:b/>
          <w:bCs/>
          <w:sz w:val="24"/>
          <w:szCs w:val="24"/>
          <w:rtl/>
        </w:rPr>
        <w:t>וליתן</w:t>
      </w:r>
      <w:proofErr w:type="spellEnd"/>
      <w:r w:rsidR="00E03695" w:rsidRPr="0010264C">
        <w:rPr>
          <w:rFonts w:ascii="David" w:hAnsi="David" w:cs="David"/>
          <w:b/>
          <w:bCs/>
          <w:sz w:val="24"/>
          <w:szCs w:val="24"/>
          <w:rtl/>
        </w:rPr>
        <w:t xml:space="preserve"> טעם מדוע לא יוצהר </w:t>
      </w:r>
      <w:r w:rsidR="00FF607B">
        <w:rPr>
          <w:rFonts w:ascii="David" w:hAnsi="David" w:cs="David"/>
          <w:b/>
          <w:bCs/>
          <w:sz w:val="24"/>
          <w:szCs w:val="24"/>
          <w:rtl/>
        </w:rPr>
        <w:t>כי חוק נתוני אשראי, התשע"ו-2016</w:t>
      </w:r>
      <w:r w:rsidR="00FF607B">
        <w:rPr>
          <w:rFonts w:ascii="David" w:hAnsi="David" w:cs="David" w:hint="cs"/>
          <w:b/>
          <w:bCs/>
          <w:sz w:val="24"/>
          <w:szCs w:val="24"/>
          <w:rtl/>
        </w:rPr>
        <w:t xml:space="preserve"> </w:t>
      </w:r>
      <w:r w:rsidR="00E03695" w:rsidRPr="0010264C">
        <w:rPr>
          <w:rFonts w:ascii="David" w:eastAsia="Times New Roman" w:hAnsi="David" w:cs="David"/>
          <w:b/>
          <w:bCs/>
          <w:sz w:val="24"/>
          <w:szCs w:val="24"/>
          <w:rtl/>
        </w:rPr>
        <w:t>בטל בשל היותו פוגע פגיעה בלתי מידתית בזכות לפרטיות, בזכות לשוויון ובכבוד האדם וחירותו</w:t>
      </w:r>
      <w:r w:rsidR="00FF607B">
        <w:rPr>
          <w:rFonts w:ascii="David" w:eastAsia="Times New Roman" w:hAnsi="David" w:cs="David" w:hint="cs"/>
          <w:sz w:val="24"/>
          <w:szCs w:val="24"/>
          <w:rtl/>
        </w:rPr>
        <w:t xml:space="preserve">". דיון נוסף בעתירה קבוע ליום 28 ביוני 2017. </w:t>
      </w:r>
    </w:p>
    <w:p w:rsidR="007747BE" w:rsidRPr="0010264C" w:rsidRDefault="007747BE" w:rsidP="00C05347">
      <w:pPr>
        <w:widowControl w:val="0"/>
        <w:tabs>
          <w:tab w:val="left" w:pos="226"/>
          <w:tab w:val="center" w:pos="4153"/>
          <w:tab w:val="right" w:pos="8306"/>
        </w:tabs>
        <w:spacing w:after="120" w:line="360" w:lineRule="auto"/>
        <w:jc w:val="both"/>
        <w:rPr>
          <w:rFonts w:ascii="David" w:hAnsi="David" w:cs="David"/>
          <w:b/>
          <w:bCs/>
          <w:sz w:val="19"/>
          <w:szCs w:val="19"/>
          <w:rtl/>
        </w:rPr>
      </w:pPr>
    </w:p>
    <w:p w:rsidR="007747BE" w:rsidRDefault="007747BE" w:rsidP="00C05347">
      <w:pPr>
        <w:widowControl w:val="0"/>
        <w:tabs>
          <w:tab w:val="left" w:pos="226"/>
          <w:tab w:val="center" w:pos="4153"/>
          <w:tab w:val="right" w:pos="8306"/>
        </w:tabs>
        <w:spacing w:after="120" w:line="360" w:lineRule="auto"/>
        <w:jc w:val="both"/>
        <w:rPr>
          <w:rFonts w:ascii="David" w:hAnsi="David" w:cs="David" w:hint="cs"/>
          <w:b/>
          <w:bCs/>
          <w:sz w:val="19"/>
          <w:szCs w:val="19"/>
          <w:rtl/>
        </w:rPr>
      </w:pPr>
    </w:p>
    <w:p w:rsidR="00FF607B" w:rsidRDefault="00FF607B" w:rsidP="00C05347">
      <w:pPr>
        <w:widowControl w:val="0"/>
        <w:tabs>
          <w:tab w:val="left" w:pos="226"/>
          <w:tab w:val="center" w:pos="4153"/>
          <w:tab w:val="right" w:pos="8306"/>
        </w:tabs>
        <w:spacing w:after="120" w:line="360" w:lineRule="auto"/>
        <w:jc w:val="both"/>
        <w:rPr>
          <w:rFonts w:ascii="David" w:hAnsi="David" w:cs="David" w:hint="cs"/>
          <w:b/>
          <w:bCs/>
          <w:sz w:val="19"/>
          <w:szCs w:val="19"/>
          <w:rtl/>
        </w:rPr>
      </w:pPr>
    </w:p>
    <w:p w:rsidR="00FF607B" w:rsidRPr="0010264C" w:rsidRDefault="00FF607B" w:rsidP="00C05347">
      <w:pPr>
        <w:widowControl w:val="0"/>
        <w:tabs>
          <w:tab w:val="left" w:pos="226"/>
          <w:tab w:val="center" w:pos="4153"/>
          <w:tab w:val="right" w:pos="8306"/>
        </w:tabs>
        <w:spacing w:after="120" w:line="360" w:lineRule="auto"/>
        <w:jc w:val="both"/>
        <w:rPr>
          <w:rFonts w:ascii="David" w:hAnsi="David" w:cs="David"/>
          <w:b/>
          <w:bCs/>
          <w:sz w:val="19"/>
          <w:szCs w:val="19"/>
          <w:rtl/>
        </w:rPr>
      </w:pPr>
    </w:p>
    <w:p w:rsidR="007747BE" w:rsidRPr="0010264C" w:rsidRDefault="007747BE" w:rsidP="00C05347">
      <w:pPr>
        <w:widowControl w:val="0"/>
        <w:tabs>
          <w:tab w:val="left" w:pos="226"/>
          <w:tab w:val="center" w:pos="4153"/>
          <w:tab w:val="right" w:pos="8306"/>
        </w:tabs>
        <w:spacing w:after="120" w:line="360" w:lineRule="auto"/>
        <w:jc w:val="both"/>
        <w:rPr>
          <w:rFonts w:ascii="David" w:hAnsi="David" w:cs="David"/>
          <w:b/>
          <w:bCs/>
          <w:sz w:val="19"/>
          <w:szCs w:val="19"/>
          <w:rtl/>
        </w:rPr>
      </w:pPr>
    </w:p>
    <w:p w:rsidR="007747BE" w:rsidRPr="0010264C" w:rsidRDefault="007747BE" w:rsidP="00C05347">
      <w:pPr>
        <w:widowControl w:val="0"/>
        <w:tabs>
          <w:tab w:val="left" w:pos="226"/>
          <w:tab w:val="center" w:pos="4153"/>
          <w:tab w:val="right" w:pos="8306"/>
        </w:tabs>
        <w:spacing w:after="120" w:line="360" w:lineRule="auto"/>
        <w:jc w:val="both"/>
        <w:rPr>
          <w:rFonts w:ascii="David" w:hAnsi="David" w:cs="David"/>
          <w:b/>
          <w:bCs/>
          <w:sz w:val="19"/>
          <w:szCs w:val="19"/>
          <w:rtl/>
        </w:rPr>
      </w:pPr>
    </w:p>
    <w:p w:rsidR="007747BE" w:rsidRPr="0010264C" w:rsidRDefault="007747BE" w:rsidP="00C05347">
      <w:pPr>
        <w:widowControl w:val="0"/>
        <w:tabs>
          <w:tab w:val="left" w:pos="226"/>
          <w:tab w:val="center" w:pos="4153"/>
          <w:tab w:val="right" w:pos="8306"/>
        </w:tabs>
        <w:spacing w:after="120" w:line="360" w:lineRule="auto"/>
        <w:jc w:val="both"/>
        <w:rPr>
          <w:rFonts w:ascii="David" w:hAnsi="David" w:cs="David"/>
          <w:b/>
          <w:bCs/>
          <w:sz w:val="19"/>
          <w:szCs w:val="19"/>
          <w:rtl/>
        </w:rPr>
      </w:pPr>
    </w:p>
    <w:p w:rsidR="0047786A" w:rsidRPr="0010264C" w:rsidRDefault="0047786A" w:rsidP="003250F2">
      <w:pPr>
        <w:widowControl w:val="0"/>
        <w:tabs>
          <w:tab w:val="left" w:pos="84"/>
          <w:tab w:val="center" w:pos="4153"/>
          <w:tab w:val="right" w:pos="8306"/>
        </w:tabs>
        <w:spacing w:after="120" w:line="360" w:lineRule="auto"/>
        <w:ind w:hanging="908"/>
        <w:jc w:val="center"/>
        <w:rPr>
          <w:rFonts w:ascii="David" w:hAnsi="David" w:cs="David"/>
          <w:b/>
          <w:bCs/>
          <w:sz w:val="28"/>
          <w:szCs w:val="28"/>
          <w:u w:val="single"/>
          <w:rtl/>
        </w:rPr>
      </w:pPr>
      <w:r w:rsidRPr="0010264C">
        <w:rPr>
          <w:rFonts w:ascii="David" w:hAnsi="David" w:cs="David"/>
          <w:b/>
          <w:bCs/>
          <w:sz w:val="28"/>
          <w:szCs w:val="28"/>
          <w:u w:val="single"/>
          <w:rtl/>
        </w:rPr>
        <w:lastRenderedPageBreak/>
        <w:t>רשימת קריאה</w:t>
      </w:r>
      <w:r w:rsidR="00D4404D" w:rsidRPr="0010264C">
        <w:rPr>
          <w:rFonts w:ascii="David" w:hAnsi="David" w:cs="David"/>
          <w:b/>
          <w:bCs/>
          <w:sz w:val="28"/>
          <w:szCs w:val="28"/>
          <w:u w:val="single"/>
          <w:rtl/>
        </w:rPr>
        <w:t xml:space="preserve"> ראשונית</w:t>
      </w:r>
    </w:p>
    <w:p w:rsidR="007747BE" w:rsidRPr="0010264C" w:rsidRDefault="007747BE" w:rsidP="00E15FFF">
      <w:pPr>
        <w:pStyle w:val="a5"/>
        <w:widowControl w:val="0"/>
        <w:numPr>
          <w:ilvl w:val="0"/>
          <w:numId w:val="17"/>
        </w:numPr>
        <w:tabs>
          <w:tab w:val="left" w:pos="84"/>
          <w:tab w:val="center" w:pos="4153"/>
          <w:tab w:val="right" w:pos="8306"/>
        </w:tabs>
        <w:spacing w:after="120" w:line="360" w:lineRule="auto"/>
        <w:ind w:left="0" w:hanging="625"/>
        <w:rPr>
          <w:rFonts w:ascii="David" w:hAnsi="David" w:cs="David"/>
          <w:b/>
          <w:bCs/>
          <w:sz w:val="28"/>
          <w:szCs w:val="28"/>
          <w:u w:val="single"/>
          <w:rtl/>
        </w:rPr>
      </w:pPr>
      <w:r w:rsidRPr="0010264C">
        <w:rPr>
          <w:rFonts w:ascii="David" w:hAnsi="David" w:cs="David"/>
          <w:b/>
          <w:bCs/>
          <w:sz w:val="24"/>
          <w:szCs w:val="24"/>
          <w:u w:val="single"/>
          <w:rtl/>
        </w:rPr>
        <w:t>רקע כללי</w:t>
      </w:r>
    </w:p>
    <w:p w:rsidR="009A7ECB" w:rsidRPr="0010264C" w:rsidRDefault="009A7ECB"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hAnsi="David" w:cs="David"/>
          <w:sz w:val="24"/>
          <w:szCs w:val="24"/>
        </w:rPr>
      </w:pPr>
      <w:r w:rsidRPr="0010264C">
        <w:rPr>
          <w:rFonts w:ascii="David" w:hAnsi="David" w:cs="David"/>
          <w:sz w:val="24"/>
          <w:szCs w:val="24"/>
          <w:rtl/>
        </w:rPr>
        <w:t xml:space="preserve">עומר טנא "הזכות לפרטיות בעקבות חוק יסוד כבוד האדם: מהפך מושגי, חוקתי ורגולטורי" </w:t>
      </w:r>
      <w:r w:rsidRPr="0010264C">
        <w:rPr>
          <w:rFonts w:ascii="David" w:hAnsi="David" w:cs="David"/>
          <w:b/>
          <w:bCs/>
          <w:sz w:val="24"/>
          <w:szCs w:val="24"/>
          <w:rtl/>
        </w:rPr>
        <w:t>קרית המשפט</w:t>
      </w:r>
      <w:r w:rsidRPr="0010264C">
        <w:rPr>
          <w:rFonts w:ascii="David" w:hAnsi="David" w:cs="David"/>
          <w:sz w:val="24"/>
          <w:szCs w:val="24"/>
          <w:rtl/>
        </w:rPr>
        <w:t xml:space="preserve"> ח' 39 (2009). </w:t>
      </w:r>
    </w:p>
    <w:p w:rsidR="007747BE" w:rsidRPr="0010264C" w:rsidRDefault="007747BE"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hAnsi="David" w:cs="David"/>
          <w:sz w:val="24"/>
          <w:szCs w:val="24"/>
        </w:rPr>
      </w:pPr>
      <w:r w:rsidRPr="0010264C">
        <w:rPr>
          <w:rFonts w:ascii="David" w:hAnsi="David" w:cs="David"/>
          <w:sz w:val="24"/>
          <w:szCs w:val="24"/>
          <w:rtl/>
        </w:rPr>
        <w:t xml:space="preserve">מיכאל </w:t>
      </w:r>
      <w:proofErr w:type="spellStart"/>
      <w:r w:rsidRPr="0010264C">
        <w:rPr>
          <w:rFonts w:ascii="David" w:hAnsi="David" w:cs="David"/>
          <w:sz w:val="24"/>
          <w:szCs w:val="24"/>
          <w:rtl/>
        </w:rPr>
        <w:t>בירנהק</w:t>
      </w:r>
      <w:proofErr w:type="spellEnd"/>
      <w:r w:rsidRPr="0010264C">
        <w:rPr>
          <w:rFonts w:ascii="David" w:hAnsi="David" w:cs="David"/>
          <w:sz w:val="24"/>
          <w:szCs w:val="24"/>
          <w:rtl/>
        </w:rPr>
        <w:t xml:space="preserve"> </w:t>
      </w:r>
      <w:r w:rsidRPr="0010264C">
        <w:rPr>
          <w:rFonts w:ascii="David" w:hAnsi="David" w:cs="David"/>
          <w:b/>
          <w:bCs/>
          <w:sz w:val="24"/>
          <w:szCs w:val="24"/>
          <w:rtl/>
        </w:rPr>
        <w:t>מרחב פרטי: הזכות לפרטיות בין משפט לטכנולוגיה</w:t>
      </w:r>
      <w:r w:rsidRPr="0010264C">
        <w:rPr>
          <w:rFonts w:ascii="David" w:hAnsi="David" w:cs="David"/>
          <w:sz w:val="24"/>
          <w:szCs w:val="24"/>
          <w:rtl/>
        </w:rPr>
        <w:t xml:space="preserve"> 190-169 (2010). </w:t>
      </w:r>
    </w:p>
    <w:p w:rsidR="00E15FFF" w:rsidRPr="0010264C" w:rsidRDefault="008B4175"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hAnsi="David" w:cs="David"/>
          <w:sz w:val="24"/>
          <w:szCs w:val="24"/>
        </w:rPr>
      </w:pPr>
      <w:proofErr w:type="spellStart"/>
      <w:r w:rsidRPr="0010264C">
        <w:rPr>
          <w:rFonts w:ascii="David" w:hAnsi="David" w:cs="David"/>
          <w:sz w:val="24"/>
          <w:szCs w:val="24"/>
          <w:rtl/>
        </w:rPr>
        <w:t>אמל</w:t>
      </w:r>
      <w:proofErr w:type="spellEnd"/>
      <w:r w:rsidRPr="0010264C">
        <w:rPr>
          <w:rFonts w:ascii="David" w:hAnsi="David" w:cs="David"/>
          <w:sz w:val="24"/>
          <w:szCs w:val="24"/>
          <w:rtl/>
        </w:rPr>
        <w:t xml:space="preserve"> </w:t>
      </w:r>
      <w:proofErr w:type="spellStart"/>
      <w:r w:rsidRPr="0010264C">
        <w:rPr>
          <w:rFonts w:ascii="David" w:hAnsi="David" w:cs="David"/>
          <w:sz w:val="24"/>
          <w:szCs w:val="24"/>
          <w:rtl/>
        </w:rPr>
        <w:t>ג'אברין</w:t>
      </w:r>
      <w:proofErr w:type="spellEnd"/>
      <w:r w:rsidRPr="0010264C">
        <w:rPr>
          <w:rFonts w:ascii="David" w:hAnsi="David" w:cs="David"/>
          <w:sz w:val="24"/>
          <w:szCs w:val="24"/>
          <w:rtl/>
        </w:rPr>
        <w:t xml:space="preserve"> "המסחר במידע אישי: בין המצוי לרצוי" </w:t>
      </w:r>
      <w:r w:rsidRPr="0010264C">
        <w:rPr>
          <w:rFonts w:ascii="David" w:hAnsi="David" w:cs="David"/>
          <w:b/>
          <w:bCs/>
          <w:sz w:val="24"/>
          <w:szCs w:val="24"/>
          <w:rtl/>
        </w:rPr>
        <w:t>מאזני משפט</w:t>
      </w:r>
      <w:r w:rsidRPr="0010264C">
        <w:rPr>
          <w:rFonts w:ascii="David" w:hAnsi="David" w:cs="David"/>
          <w:sz w:val="24"/>
          <w:szCs w:val="24"/>
          <w:rtl/>
        </w:rPr>
        <w:t xml:space="preserve"> ז' 253 (2010). </w:t>
      </w:r>
    </w:p>
    <w:p w:rsidR="00E15FFF" w:rsidRPr="0010264C" w:rsidRDefault="00E15FFF"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hAnsi="David" w:cs="David"/>
          <w:sz w:val="24"/>
          <w:szCs w:val="24"/>
        </w:rPr>
      </w:pPr>
      <w:proofErr w:type="spellStart"/>
      <w:r w:rsidRPr="0010264C">
        <w:rPr>
          <w:rFonts w:ascii="David" w:hAnsi="David" w:cs="David"/>
          <w:sz w:val="24"/>
          <w:szCs w:val="24"/>
          <w:rtl/>
        </w:rPr>
        <w:t>אמל</w:t>
      </w:r>
      <w:proofErr w:type="spellEnd"/>
      <w:r w:rsidRPr="0010264C">
        <w:rPr>
          <w:rFonts w:ascii="David" w:hAnsi="David" w:cs="David"/>
          <w:sz w:val="24"/>
          <w:szCs w:val="24"/>
          <w:rtl/>
        </w:rPr>
        <w:t xml:space="preserve"> </w:t>
      </w:r>
      <w:proofErr w:type="spellStart"/>
      <w:r w:rsidRPr="0010264C">
        <w:rPr>
          <w:rFonts w:ascii="David" w:hAnsi="David" w:cs="David"/>
          <w:sz w:val="24"/>
          <w:szCs w:val="24"/>
          <w:rtl/>
        </w:rPr>
        <w:t>ג'אברין</w:t>
      </w:r>
      <w:proofErr w:type="spellEnd"/>
      <w:r w:rsidRPr="0010264C">
        <w:rPr>
          <w:rFonts w:ascii="David" w:hAnsi="David" w:cs="David"/>
          <w:sz w:val="24"/>
          <w:szCs w:val="24"/>
          <w:rtl/>
        </w:rPr>
        <w:t xml:space="preserve"> "המידע הוא עלינו, אך האם הוא שלנו? הכרעה מנקודת מבט כלכלית" </w:t>
      </w:r>
      <w:r w:rsidRPr="0010264C">
        <w:rPr>
          <w:rFonts w:ascii="David" w:hAnsi="David" w:cs="David"/>
          <w:b/>
          <w:bCs/>
          <w:sz w:val="24"/>
          <w:szCs w:val="24"/>
          <w:rtl/>
        </w:rPr>
        <w:t>מחקרי משפט</w:t>
      </w:r>
      <w:r w:rsidRPr="0010264C">
        <w:rPr>
          <w:rFonts w:ascii="David" w:hAnsi="David" w:cs="David"/>
          <w:sz w:val="24"/>
          <w:szCs w:val="24"/>
          <w:rtl/>
        </w:rPr>
        <w:t xml:space="preserve"> </w:t>
      </w:r>
      <w:proofErr w:type="spellStart"/>
      <w:r w:rsidRPr="0010264C">
        <w:rPr>
          <w:rFonts w:ascii="David" w:hAnsi="David" w:cs="David"/>
          <w:sz w:val="24"/>
          <w:szCs w:val="24"/>
          <w:rtl/>
        </w:rPr>
        <w:t>כז</w:t>
      </w:r>
      <w:proofErr w:type="spellEnd"/>
      <w:r w:rsidRPr="0010264C">
        <w:rPr>
          <w:rFonts w:ascii="David" w:hAnsi="David" w:cs="David"/>
          <w:sz w:val="24"/>
          <w:szCs w:val="24"/>
          <w:rtl/>
        </w:rPr>
        <w:t xml:space="preserve"> 79 (2011). </w:t>
      </w:r>
    </w:p>
    <w:p w:rsidR="00C0761F" w:rsidRPr="0010264C" w:rsidRDefault="00C0761F"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hAnsi="David" w:cs="David"/>
          <w:sz w:val="24"/>
          <w:szCs w:val="24"/>
        </w:rPr>
      </w:pPr>
      <w:r w:rsidRPr="0010264C">
        <w:rPr>
          <w:rFonts w:ascii="David" w:hAnsi="David" w:cs="David"/>
          <w:sz w:val="24"/>
          <w:szCs w:val="24"/>
          <w:rtl/>
        </w:rPr>
        <w:t xml:space="preserve">עתירה למתן צו על תנאי </w:t>
      </w:r>
      <w:proofErr w:type="spellStart"/>
      <w:r w:rsidRPr="0010264C">
        <w:rPr>
          <w:rFonts w:ascii="David" w:hAnsi="David" w:cs="David"/>
          <w:sz w:val="24"/>
          <w:szCs w:val="24"/>
          <w:rtl/>
        </w:rPr>
        <w:t>בבג"צ</w:t>
      </w:r>
      <w:proofErr w:type="spellEnd"/>
      <w:r w:rsidRPr="0010264C">
        <w:rPr>
          <w:rFonts w:ascii="David" w:hAnsi="David" w:cs="David"/>
          <w:sz w:val="24"/>
          <w:szCs w:val="24"/>
          <w:rtl/>
        </w:rPr>
        <w:t xml:space="preserve"> 1516/12 </w:t>
      </w:r>
      <w:r w:rsidRPr="0010264C">
        <w:rPr>
          <w:rFonts w:ascii="David" w:hAnsi="David" w:cs="David"/>
          <w:b/>
          <w:bCs/>
          <w:sz w:val="24"/>
          <w:szCs w:val="24"/>
          <w:rtl/>
        </w:rPr>
        <w:t xml:space="preserve">פרופ' קרין </w:t>
      </w:r>
      <w:proofErr w:type="spellStart"/>
      <w:r w:rsidRPr="0010264C">
        <w:rPr>
          <w:rFonts w:ascii="David" w:hAnsi="David" w:cs="David"/>
          <w:b/>
          <w:bCs/>
          <w:sz w:val="24"/>
          <w:szCs w:val="24"/>
          <w:rtl/>
        </w:rPr>
        <w:t>נהון</w:t>
      </w:r>
      <w:proofErr w:type="spellEnd"/>
      <w:r w:rsidRPr="0010264C">
        <w:rPr>
          <w:rFonts w:ascii="David" w:hAnsi="David" w:cs="David"/>
          <w:b/>
          <w:bCs/>
          <w:sz w:val="24"/>
          <w:szCs w:val="24"/>
          <w:rtl/>
        </w:rPr>
        <w:t xml:space="preserve"> נ' הכנסת</w:t>
      </w:r>
      <w:r w:rsidRPr="0010264C">
        <w:rPr>
          <w:rFonts w:ascii="David" w:hAnsi="David" w:cs="David"/>
          <w:sz w:val="24"/>
          <w:szCs w:val="24"/>
          <w:rtl/>
        </w:rPr>
        <w:t xml:space="preserve"> (</w:t>
      </w:r>
      <w:hyperlink r:id="rId10" w:history="1">
        <w:r w:rsidRPr="0010264C">
          <w:rPr>
            <w:rStyle w:val="Hyperlink"/>
            <w:rFonts w:ascii="David" w:hAnsi="David" w:cs="David"/>
            <w:sz w:val="24"/>
            <w:szCs w:val="24"/>
            <w:rtl/>
          </w:rPr>
          <w:t>העתירה</w:t>
        </w:r>
      </w:hyperlink>
      <w:r w:rsidRPr="0010264C">
        <w:rPr>
          <w:rFonts w:ascii="David" w:hAnsi="David" w:cs="David"/>
          <w:sz w:val="24"/>
          <w:szCs w:val="24"/>
          <w:rtl/>
        </w:rPr>
        <w:t xml:space="preserve">, </w:t>
      </w:r>
      <w:hyperlink r:id="rId11" w:history="1">
        <w:r w:rsidRPr="0010264C">
          <w:rPr>
            <w:rStyle w:val="Hyperlink"/>
            <w:rFonts w:ascii="David" w:hAnsi="David" w:cs="David"/>
            <w:sz w:val="24"/>
            <w:szCs w:val="24"/>
            <w:rtl/>
          </w:rPr>
          <w:t>תגובת הכנסת</w:t>
        </w:r>
      </w:hyperlink>
      <w:r w:rsidRPr="0010264C">
        <w:rPr>
          <w:rFonts w:ascii="David" w:hAnsi="David" w:cs="David"/>
          <w:sz w:val="24"/>
          <w:szCs w:val="24"/>
          <w:rtl/>
        </w:rPr>
        <w:t xml:space="preserve">, </w:t>
      </w:r>
      <w:hyperlink r:id="rId12" w:history="1">
        <w:r w:rsidRPr="0010264C">
          <w:rPr>
            <w:rStyle w:val="Hyperlink"/>
            <w:rFonts w:ascii="David" w:hAnsi="David" w:cs="David"/>
            <w:sz w:val="24"/>
            <w:szCs w:val="24"/>
            <w:rtl/>
          </w:rPr>
          <w:t>תגובת משרד הפנים</w:t>
        </w:r>
      </w:hyperlink>
      <w:r w:rsidRPr="0010264C">
        <w:rPr>
          <w:rFonts w:ascii="David" w:hAnsi="David" w:cs="David"/>
          <w:sz w:val="24"/>
          <w:szCs w:val="24"/>
          <w:rtl/>
        </w:rPr>
        <w:t xml:space="preserve"> </w:t>
      </w:r>
      <w:hyperlink r:id="rId13" w:history="1">
        <w:r w:rsidRPr="0010264C">
          <w:rPr>
            <w:rStyle w:val="Hyperlink"/>
            <w:rFonts w:ascii="David" w:hAnsi="David" w:cs="David"/>
            <w:sz w:val="24"/>
            <w:szCs w:val="24"/>
            <w:rtl/>
          </w:rPr>
          <w:t>ופסק הדין</w:t>
        </w:r>
      </w:hyperlink>
      <w:r w:rsidRPr="0010264C">
        <w:rPr>
          <w:rFonts w:ascii="David" w:hAnsi="David" w:cs="David"/>
          <w:sz w:val="24"/>
          <w:szCs w:val="24"/>
          <w:rtl/>
        </w:rPr>
        <w:t>)</w:t>
      </w:r>
      <w:r w:rsidR="002D5722" w:rsidRPr="0010264C">
        <w:rPr>
          <w:rFonts w:ascii="David" w:hAnsi="David" w:cs="David"/>
          <w:sz w:val="24"/>
          <w:szCs w:val="24"/>
          <w:rtl/>
        </w:rPr>
        <w:t xml:space="preserve">. </w:t>
      </w:r>
    </w:p>
    <w:p w:rsidR="00D4404D" w:rsidRPr="0010264C" w:rsidRDefault="00D4404D" w:rsidP="00E15FFF">
      <w:pPr>
        <w:pStyle w:val="a5"/>
        <w:widowControl w:val="0"/>
        <w:tabs>
          <w:tab w:val="left" w:pos="84"/>
          <w:tab w:val="center" w:pos="4153"/>
          <w:tab w:val="right" w:pos="8306"/>
        </w:tabs>
        <w:spacing w:after="120" w:line="360" w:lineRule="auto"/>
        <w:ind w:left="0" w:hanging="625"/>
        <w:jc w:val="both"/>
        <w:rPr>
          <w:rFonts w:ascii="David" w:hAnsi="David" w:cs="David" w:hint="cs"/>
          <w:sz w:val="24"/>
          <w:szCs w:val="24"/>
          <w:rtl/>
        </w:rPr>
      </w:pPr>
    </w:p>
    <w:p w:rsidR="00F95310" w:rsidRPr="0010264C" w:rsidRDefault="00F95310" w:rsidP="00E15FFF">
      <w:pPr>
        <w:pStyle w:val="a5"/>
        <w:widowControl w:val="0"/>
        <w:numPr>
          <w:ilvl w:val="0"/>
          <w:numId w:val="17"/>
        </w:numPr>
        <w:tabs>
          <w:tab w:val="left" w:pos="84"/>
          <w:tab w:val="center" w:pos="4153"/>
          <w:tab w:val="right" w:pos="8306"/>
        </w:tabs>
        <w:spacing w:after="120" w:line="360" w:lineRule="auto"/>
        <w:ind w:left="0" w:hanging="625"/>
        <w:rPr>
          <w:rFonts w:ascii="David" w:hAnsi="David" w:cs="David"/>
          <w:b/>
          <w:bCs/>
          <w:sz w:val="24"/>
          <w:szCs w:val="24"/>
          <w:u w:val="single"/>
        </w:rPr>
      </w:pPr>
      <w:r w:rsidRPr="0010264C">
        <w:rPr>
          <w:rFonts w:ascii="David" w:hAnsi="David" w:cs="David"/>
          <w:b/>
          <w:bCs/>
          <w:sz w:val="24"/>
          <w:szCs w:val="24"/>
          <w:u w:val="single"/>
          <w:rtl/>
        </w:rPr>
        <w:t xml:space="preserve">הדין </w:t>
      </w:r>
      <w:r w:rsidR="00833F75" w:rsidRPr="0010264C">
        <w:rPr>
          <w:rFonts w:ascii="David" w:hAnsi="David" w:cs="David"/>
          <w:b/>
          <w:bCs/>
          <w:sz w:val="24"/>
          <w:szCs w:val="24"/>
          <w:u w:val="single"/>
          <w:rtl/>
        </w:rPr>
        <w:t>בעולם</w:t>
      </w:r>
    </w:p>
    <w:p w:rsidR="00F95310" w:rsidRPr="0010264C" w:rsidRDefault="00F95310"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hAnsi="David" w:cs="David"/>
          <w:sz w:val="24"/>
          <w:szCs w:val="24"/>
          <w:u w:val="single"/>
        </w:rPr>
      </w:pPr>
      <w:r w:rsidRPr="0010264C">
        <w:rPr>
          <w:rFonts w:ascii="David" w:hAnsi="David" w:cs="David"/>
          <w:sz w:val="24"/>
          <w:szCs w:val="24"/>
          <w:rtl/>
        </w:rPr>
        <w:t xml:space="preserve">דוד לוי </w:t>
      </w:r>
      <w:proofErr w:type="spellStart"/>
      <w:r w:rsidRPr="0010264C">
        <w:rPr>
          <w:rFonts w:ascii="David" w:hAnsi="David" w:cs="David"/>
          <w:sz w:val="24"/>
          <w:szCs w:val="24"/>
          <w:rtl/>
        </w:rPr>
        <w:t>פאור</w:t>
      </w:r>
      <w:proofErr w:type="spellEnd"/>
      <w:r w:rsidRPr="0010264C">
        <w:rPr>
          <w:rFonts w:ascii="David" w:hAnsi="David" w:cs="David"/>
          <w:sz w:val="24"/>
          <w:szCs w:val="24"/>
          <w:rtl/>
        </w:rPr>
        <w:t xml:space="preserve">, ענבר מזרחי ויאיר </w:t>
      </w:r>
      <w:proofErr w:type="spellStart"/>
      <w:r w:rsidRPr="0010264C">
        <w:rPr>
          <w:rFonts w:ascii="David" w:hAnsi="David" w:cs="David"/>
          <w:sz w:val="24"/>
          <w:szCs w:val="24"/>
          <w:rtl/>
        </w:rPr>
        <w:t>אושורוב</w:t>
      </w:r>
      <w:proofErr w:type="spellEnd"/>
      <w:r w:rsidRPr="0010264C">
        <w:rPr>
          <w:rFonts w:ascii="David" w:hAnsi="David" w:cs="David"/>
          <w:sz w:val="24"/>
          <w:szCs w:val="24"/>
          <w:rtl/>
        </w:rPr>
        <w:t xml:space="preserve"> "דירוג אשראי בארצות הברית: לקחים, אתגרים ורגולציה" (המרכז לצדק חברתי ודמוקרטיה ע"ש יעקב חזן במכון </w:t>
      </w:r>
      <w:proofErr w:type="spellStart"/>
      <w:r w:rsidRPr="0010264C">
        <w:rPr>
          <w:rFonts w:ascii="David" w:hAnsi="David" w:cs="David"/>
          <w:sz w:val="24"/>
          <w:szCs w:val="24"/>
          <w:rtl/>
        </w:rPr>
        <w:t>ון</w:t>
      </w:r>
      <w:proofErr w:type="spellEnd"/>
      <w:r w:rsidRPr="0010264C">
        <w:rPr>
          <w:rFonts w:ascii="David" w:hAnsi="David" w:cs="David"/>
          <w:sz w:val="24"/>
          <w:szCs w:val="24"/>
          <w:rtl/>
        </w:rPr>
        <w:t xml:space="preserve"> ליר ירושלים, 2015). נגיש </w:t>
      </w:r>
      <w:hyperlink r:id="rId14" w:history="1">
        <w:r w:rsidRPr="0010264C">
          <w:rPr>
            <w:rStyle w:val="Hyperlink"/>
            <w:rFonts w:ascii="David" w:hAnsi="David" w:cs="David"/>
            <w:sz w:val="24"/>
            <w:szCs w:val="24"/>
            <w:rtl/>
          </w:rPr>
          <w:t>כאן</w:t>
        </w:r>
      </w:hyperlink>
      <w:r w:rsidRPr="0010264C">
        <w:rPr>
          <w:rFonts w:ascii="David" w:hAnsi="David" w:cs="David"/>
          <w:sz w:val="24"/>
          <w:szCs w:val="24"/>
          <w:rtl/>
        </w:rPr>
        <w:t xml:space="preserve">. </w:t>
      </w:r>
    </w:p>
    <w:p w:rsidR="0010264C" w:rsidRPr="0010264C" w:rsidRDefault="0010264C"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hAnsi="David" w:cs="David"/>
          <w:sz w:val="24"/>
          <w:szCs w:val="24"/>
          <w:u w:val="single"/>
        </w:rPr>
      </w:pPr>
      <w:r w:rsidRPr="0010264C">
        <w:rPr>
          <w:rFonts w:ascii="David" w:hAnsi="David" w:cs="David"/>
          <w:smallCaps/>
          <w:sz w:val="24"/>
          <w:szCs w:val="24"/>
        </w:rPr>
        <w:t>Credit reporting Systems and The International Economy</w:t>
      </w:r>
      <w:r w:rsidRPr="0010264C">
        <w:rPr>
          <w:rFonts w:ascii="David" w:hAnsi="David" w:cs="David"/>
          <w:sz w:val="24"/>
          <w:szCs w:val="24"/>
        </w:rPr>
        <w:t xml:space="preserve"> (Margret Miller ed., 2003)</w:t>
      </w:r>
      <w:r w:rsidRPr="0010264C">
        <w:rPr>
          <w:rFonts w:ascii="David" w:hAnsi="David" w:cs="David"/>
          <w:sz w:val="24"/>
          <w:szCs w:val="24"/>
          <w:rtl/>
        </w:rPr>
        <w:t>.</w:t>
      </w:r>
      <w:r w:rsidRPr="0010264C">
        <w:rPr>
          <w:rFonts w:ascii="David" w:hAnsi="David" w:cs="David"/>
          <w:sz w:val="24"/>
          <w:szCs w:val="24"/>
          <w:u w:val="single"/>
          <w:rtl/>
        </w:rPr>
        <w:t xml:space="preserve"> </w:t>
      </w:r>
    </w:p>
    <w:p w:rsidR="00F95310" w:rsidRPr="0010264C" w:rsidRDefault="00F95310"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hAnsi="David" w:cs="David"/>
          <w:sz w:val="24"/>
          <w:szCs w:val="24"/>
        </w:rPr>
      </w:pPr>
      <w:proofErr w:type="spellStart"/>
      <w:r w:rsidRPr="0010264C">
        <w:rPr>
          <w:rFonts w:ascii="David" w:hAnsi="David" w:cs="David"/>
          <w:sz w:val="24"/>
          <w:szCs w:val="24"/>
        </w:rPr>
        <w:t>Adi</w:t>
      </w:r>
      <w:proofErr w:type="spellEnd"/>
      <w:r w:rsidRPr="0010264C">
        <w:rPr>
          <w:rFonts w:ascii="David" w:hAnsi="David" w:cs="David"/>
          <w:sz w:val="24"/>
          <w:szCs w:val="24"/>
        </w:rPr>
        <w:t xml:space="preserve"> </w:t>
      </w:r>
      <w:proofErr w:type="spellStart"/>
      <w:r w:rsidRPr="0010264C">
        <w:rPr>
          <w:rFonts w:ascii="David" w:hAnsi="David" w:cs="David"/>
          <w:sz w:val="24"/>
          <w:szCs w:val="24"/>
        </w:rPr>
        <w:t>Osovsky</w:t>
      </w:r>
      <w:proofErr w:type="spellEnd"/>
      <w:r w:rsidRPr="0010264C">
        <w:rPr>
          <w:rFonts w:ascii="David" w:hAnsi="David" w:cs="David"/>
          <w:sz w:val="24"/>
          <w:szCs w:val="24"/>
        </w:rPr>
        <w:t xml:space="preserve">, </w:t>
      </w:r>
      <w:r w:rsidRPr="0010264C">
        <w:rPr>
          <w:rFonts w:ascii="David" w:hAnsi="David" w:cs="David"/>
          <w:i/>
          <w:iCs/>
          <w:sz w:val="24"/>
          <w:szCs w:val="24"/>
        </w:rPr>
        <w:t xml:space="preserve">The Misconception of the Consumer as a Homo </w:t>
      </w:r>
      <w:proofErr w:type="spellStart"/>
      <w:r w:rsidRPr="0010264C">
        <w:rPr>
          <w:rFonts w:ascii="David" w:hAnsi="David" w:cs="David"/>
          <w:i/>
          <w:iCs/>
          <w:sz w:val="24"/>
          <w:szCs w:val="24"/>
        </w:rPr>
        <w:t>Economicus</w:t>
      </w:r>
      <w:proofErr w:type="spellEnd"/>
      <w:r w:rsidRPr="0010264C">
        <w:rPr>
          <w:rFonts w:ascii="David" w:hAnsi="David" w:cs="David"/>
          <w:i/>
          <w:iCs/>
          <w:sz w:val="24"/>
          <w:szCs w:val="24"/>
        </w:rPr>
        <w:t>: A Behavioral Economic Approach to Consumer Protection in the Credit Reporting System</w:t>
      </w:r>
      <w:r w:rsidRPr="0010264C">
        <w:rPr>
          <w:rFonts w:ascii="David" w:hAnsi="David" w:cs="David"/>
          <w:sz w:val="24"/>
          <w:szCs w:val="24"/>
        </w:rPr>
        <w:t xml:space="preserve">, </w:t>
      </w:r>
      <w:hyperlink r:id="rId15" w:anchor="#" w:history="1">
        <w:r w:rsidRPr="0010264C">
          <w:rPr>
            <w:rFonts w:ascii="David" w:hAnsi="David" w:cs="David"/>
            <w:sz w:val="24"/>
            <w:szCs w:val="24"/>
          </w:rPr>
          <w:t xml:space="preserve">46 (3) </w:t>
        </w:r>
        <w:r w:rsidRPr="0010264C">
          <w:rPr>
            <w:rFonts w:ascii="David" w:hAnsi="David" w:cs="David"/>
            <w:smallCaps/>
            <w:sz w:val="24"/>
            <w:szCs w:val="24"/>
          </w:rPr>
          <w:t>Suffolk U. L. Rev</w:t>
        </w:r>
        <w:r w:rsidRPr="0010264C">
          <w:rPr>
            <w:rFonts w:ascii="David" w:hAnsi="David" w:cs="David"/>
            <w:sz w:val="24"/>
            <w:szCs w:val="24"/>
          </w:rPr>
          <w:t>. 881 (2013)</w:t>
        </w:r>
      </w:hyperlink>
      <w:r w:rsidRPr="0010264C">
        <w:rPr>
          <w:rFonts w:ascii="David" w:hAnsi="David" w:cs="David"/>
          <w:sz w:val="24"/>
          <w:szCs w:val="24"/>
          <w:rtl/>
        </w:rPr>
        <w:t xml:space="preserve">. </w:t>
      </w:r>
    </w:p>
    <w:p w:rsidR="00281A84" w:rsidRPr="0010264C" w:rsidRDefault="00F95310"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hAnsi="David" w:cs="David"/>
          <w:sz w:val="24"/>
          <w:szCs w:val="24"/>
        </w:rPr>
      </w:pPr>
      <w:r w:rsidRPr="0010264C">
        <w:rPr>
          <w:rFonts w:ascii="David" w:hAnsi="David" w:cs="David"/>
          <w:sz w:val="24"/>
          <w:szCs w:val="24"/>
        </w:rPr>
        <w:t xml:space="preserve">Tal Z. </w:t>
      </w:r>
      <w:proofErr w:type="spellStart"/>
      <w:r w:rsidRPr="0010264C">
        <w:rPr>
          <w:rFonts w:ascii="David" w:hAnsi="David" w:cs="David"/>
          <w:sz w:val="24"/>
          <w:szCs w:val="24"/>
        </w:rPr>
        <w:t>Zarsky</w:t>
      </w:r>
      <w:proofErr w:type="spellEnd"/>
      <w:r w:rsidRPr="0010264C">
        <w:rPr>
          <w:rFonts w:ascii="David" w:hAnsi="David" w:cs="David"/>
          <w:sz w:val="24"/>
          <w:szCs w:val="24"/>
        </w:rPr>
        <w:t xml:space="preserve">, </w:t>
      </w:r>
      <w:r w:rsidRPr="0010264C">
        <w:rPr>
          <w:rFonts w:ascii="David" w:hAnsi="David" w:cs="David"/>
          <w:i/>
          <w:iCs/>
          <w:sz w:val="24"/>
          <w:szCs w:val="24"/>
        </w:rPr>
        <w:t>Understanding Discrimination in the Scored Society</w:t>
      </w:r>
      <w:r w:rsidRPr="0010264C">
        <w:rPr>
          <w:rFonts w:ascii="David" w:hAnsi="David" w:cs="David"/>
          <w:sz w:val="24"/>
          <w:szCs w:val="24"/>
        </w:rPr>
        <w:t xml:space="preserve">, 89 </w:t>
      </w:r>
      <w:r w:rsidRPr="0010264C">
        <w:rPr>
          <w:rFonts w:ascii="David" w:hAnsi="David" w:cs="David"/>
          <w:smallCaps/>
          <w:sz w:val="24"/>
          <w:szCs w:val="24"/>
        </w:rPr>
        <w:t>Wash. L. Rev</w:t>
      </w:r>
      <w:r w:rsidR="009E64BE" w:rsidRPr="0010264C">
        <w:rPr>
          <w:rFonts w:ascii="David" w:hAnsi="David" w:cs="David"/>
          <w:sz w:val="24"/>
          <w:szCs w:val="24"/>
        </w:rPr>
        <w:t>. 1375 (2014)</w:t>
      </w:r>
      <w:r w:rsidR="009E64BE" w:rsidRPr="0010264C">
        <w:rPr>
          <w:rFonts w:ascii="David" w:hAnsi="David" w:cs="David"/>
          <w:sz w:val="24"/>
          <w:szCs w:val="24"/>
          <w:rtl/>
        </w:rPr>
        <w:t>.</w:t>
      </w:r>
    </w:p>
    <w:p w:rsidR="002D5722" w:rsidRPr="0010264C" w:rsidRDefault="002D5722"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hAnsi="David" w:cs="David"/>
          <w:smallCaps/>
          <w:sz w:val="24"/>
          <w:szCs w:val="24"/>
        </w:rPr>
      </w:pPr>
      <w:r w:rsidRPr="0010264C">
        <w:rPr>
          <w:rFonts w:ascii="David" w:hAnsi="David" w:cs="David"/>
          <w:smallCaps/>
          <w:sz w:val="24"/>
          <w:szCs w:val="24"/>
        </w:rPr>
        <w:t>Federico Ferretti, The Law and Consumer Credit Information in the European Community: The Regulation of Credit Information Systems</w:t>
      </w:r>
      <w:r w:rsidR="00DC75EE" w:rsidRPr="0010264C">
        <w:rPr>
          <w:rFonts w:ascii="David" w:hAnsi="David" w:cs="David"/>
          <w:smallCaps/>
          <w:sz w:val="24"/>
          <w:szCs w:val="24"/>
        </w:rPr>
        <w:t xml:space="preserve"> (2008)</w:t>
      </w:r>
      <w:r w:rsidR="00DC75EE" w:rsidRPr="0010264C">
        <w:rPr>
          <w:rFonts w:ascii="David" w:hAnsi="David" w:cs="David"/>
          <w:smallCaps/>
          <w:sz w:val="24"/>
          <w:szCs w:val="24"/>
          <w:rtl/>
        </w:rPr>
        <w:t xml:space="preserve">. </w:t>
      </w:r>
    </w:p>
    <w:p w:rsidR="00B2370B" w:rsidRPr="0010264C" w:rsidRDefault="00B2370B" w:rsidP="00B2370B">
      <w:pPr>
        <w:pStyle w:val="a5"/>
        <w:widowControl w:val="0"/>
        <w:numPr>
          <w:ilvl w:val="0"/>
          <w:numId w:val="16"/>
        </w:numPr>
        <w:tabs>
          <w:tab w:val="left" w:pos="84"/>
          <w:tab w:val="center" w:pos="4153"/>
          <w:tab w:val="right" w:pos="8306"/>
        </w:tabs>
        <w:spacing w:after="120" w:line="360" w:lineRule="auto"/>
        <w:ind w:left="0" w:hanging="625"/>
        <w:jc w:val="both"/>
        <w:rPr>
          <w:rFonts w:ascii="David" w:hAnsi="David" w:cs="David"/>
          <w:smallCaps/>
          <w:sz w:val="24"/>
          <w:szCs w:val="24"/>
        </w:rPr>
      </w:pPr>
      <w:r w:rsidRPr="0010264C">
        <w:rPr>
          <w:rFonts w:ascii="David" w:hAnsi="David" w:cs="David"/>
          <w:smallCaps/>
          <w:sz w:val="24"/>
          <w:szCs w:val="24"/>
        </w:rPr>
        <w:t>Nicola Jentzsch, Financial Privacy: An International Comparison of Credit Reporting Systems (2007)</w:t>
      </w:r>
      <w:r w:rsidRPr="0010264C">
        <w:rPr>
          <w:rFonts w:ascii="David" w:hAnsi="David" w:cs="David"/>
          <w:smallCaps/>
          <w:sz w:val="24"/>
          <w:szCs w:val="24"/>
          <w:rtl/>
        </w:rPr>
        <w:t xml:space="preserve">. </w:t>
      </w:r>
    </w:p>
    <w:p w:rsidR="00CD7D03" w:rsidRPr="0010264C" w:rsidRDefault="00CD7D03" w:rsidP="00B2370B">
      <w:pPr>
        <w:pStyle w:val="a5"/>
        <w:widowControl w:val="0"/>
        <w:numPr>
          <w:ilvl w:val="0"/>
          <w:numId w:val="16"/>
        </w:numPr>
        <w:tabs>
          <w:tab w:val="left" w:pos="84"/>
          <w:tab w:val="center" w:pos="4153"/>
          <w:tab w:val="right" w:pos="8306"/>
        </w:tabs>
        <w:spacing w:after="120" w:line="360" w:lineRule="auto"/>
        <w:ind w:left="0" w:hanging="625"/>
        <w:jc w:val="both"/>
        <w:rPr>
          <w:rFonts w:ascii="David" w:hAnsi="David" w:cs="David"/>
          <w:sz w:val="24"/>
          <w:szCs w:val="24"/>
          <w:rtl/>
        </w:rPr>
      </w:pPr>
      <w:r w:rsidRPr="0010264C">
        <w:rPr>
          <w:rFonts w:ascii="David" w:hAnsi="David" w:cs="David"/>
          <w:sz w:val="24"/>
          <w:szCs w:val="24"/>
        </w:rPr>
        <w:t xml:space="preserve">Luke </w:t>
      </w:r>
      <w:proofErr w:type="spellStart"/>
      <w:r w:rsidRPr="0010264C">
        <w:rPr>
          <w:rFonts w:ascii="David" w:hAnsi="David" w:cs="David"/>
          <w:sz w:val="24"/>
          <w:szCs w:val="24"/>
        </w:rPr>
        <w:t>Herrine</w:t>
      </w:r>
      <w:proofErr w:type="spellEnd"/>
      <w:r w:rsidRPr="0010264C">
        <w:rPr>
          <w:rFonts w:ascii="David" w:hAnsi="David" w:cs="David"/>
          <w:sz w:val="24"/>
          <w:szCs w:val="24"/>
        </w:rPr>
        <w:t xml:space="preserve">, </w:t>
      </w:r>
      <w:r w:rsidRPr="0010264C">
        <w:rPr>
          <w:rFonts w:ascii="David" w:hAnsi="David" w:cs="David"/>
          <w:i/>
          <w:iCs/>
          <w:sz w:val="24"/>
          <w:szCs w:val="24"/>
        </w:rPr>
        <w:t>Credit Reporting's Vicious Cycles</w:t>
      </w:r>
      <w:r w:rsidRPr="0010264C">
        <w:rPr>
          <w:rFonts w:ascii="David" w:hAnsi="David" w:cs="David"/>
          <w:sz w:val="24"/>
          <w:szCs w:val="24"/>
        </w:rPr>
        <w:t xml:space="preserve">, 40 </w:t>
      </w:r>
      <w:r w:rsidRPr="0010264C">
        <w:rPr>
          <w:rFonts w:ascii="David" w:hAnsi="David" w:cs="David"/>
          <w:smallCaps/>
          <w:sz w:val="24"/>
          <w:szCs w:val="24"/>
        </w:rPr>
        <w:t xml:space="preserve">NYU Rev. L. &amp; Soc. Change </w:t>
      </w:r>
      <w:r w:rsidRPr="0010264C">
        <w:rPr>
          <w:rFonts w:ascii="David" w:hAnsi="David" w:cs="David"/>
          <w:sz w:val="24"/>
          <w:szCs w:val="24"/>
        </w:rPr>
        <w:t>305 (2016)</w:t>
      </w:r>
      <w:r w:rsidRPr="0010264C">
        <w:rPr>
          <w:rFonts w:ascii="David" w:hAnsi="David" w:cs="David"/>
          <w:sz w:val="24"/>
          <w:szCs w:val="24"/>
          <w:rtl/>
        </w:rPr>
        <w:t xml:space="preserve">. </w:t>
      </w:r>
    </w:p>
    <w:p w:rsidR="00D4404D" w:rsidRPr="0010264C" w:rsidRDefault="00D4404D" w:rsidP="00E15FFF">
      <w:pPr>
        <w:pStyle w:val="a5"/>
        <w:widowControl w:val="0"/>
        <w:tabs>
          <w:tab w:val="left" w:pos="84"/>
          <w:tab w:val="center" w:pos="4153"/>
          <w:tab w:val="right" w:pos="8306"/>
        </w:tabs>
        <w:spacing w:after="120" w:line="360" w:lineRule="auto"/>
        <w:ind w:left="0" w:hanging="625"/>
        <w:jc w:val="both"/>
        <w:rPr>
          <w:rFonts w:ascii="David" w:hAnsi="David" w:cs="David" w:hint="cs"/>
          <w:sz w:val="24"/>
          <w:szCs w:val="24"/>
        </w:rPr>
      </w:pPr>
    </w:p>
    <w:p w:rsidR="00281A84" w:rsidRPr="0010264C" w:rsidRDefault="00281A84" w:rsidP="00E15FFF">
      <w:pPr>
        <w:pStyle w:val="a5"/>
        <w:widowControl w:val="0"/>
        <w:numPr>
          <w:ilvl w:val="0"/>
          <w:numId w:val="17"/>
        </w:numPr>
        <w:tabs>
          <w:tab w:val="left" w:pos="84"/>
          <w:tab w:val="center" w:pos="4153"/>
          <w:tab w:val="right" w:pos="8306"/>
        </w:tabs>
        <w:spacing w:after="120" w:line="360" w:lineRule="auto"/>
        <w:ind w:left="0" w:hanging="625"/>
        <w:rPr>
          <w:rFonts w:ascii="David" w:eastAsia="Calibri" w:hAnsi="David" w:cs="David"/>
          <w:b/>
          <w:bCs/>
          <w:sz w:val="24"/>
          <w:szCs w:val="24"/>
          <w:u w:val="single"/>
          <w:rtl/>
          <w:lang w:val="en-GB"/>
        </w:rPr>
      </w:pPr>
      <w:r w:rsidRPr="0010264C">
        <w:rPr>
          <w:rFonts w:ascii="David" w:eastAsia="Calibri" w:hAnsi="David" w:cs="David"/>
          <w:b/>
          <w:bCs/>
          <w:sz w:val="24"/>
          <w:szCs w:val="24"/>
          <w:u w:val="single"/>
          <w:rtl/>
          <w:lang w:val="en-GB"/>
        </w:rPr>
        <w:t>חוק נתוני אשראי, התשע"ו-2016</w:t>
      </w:r>
    </w:p>
    <w:p w:rsidR="00FB7E70" w:rsidRPr="0010264C" w:rsidRDefault="00FB7E70"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eastAsia="Calibri" w:hAnsi="David" w:cs="David"/>
          <w:sz w:val="24"/>
          <w:szCs w:val="24"/>
        </w:rPr>
      </w:pPr>
      <w:proofErr w:type="spellStart"/>
      <w:r w:rsidRPr="0010264C">
        <w:rPr>
          <w:rFonts w:ascii="David" w:eastAsia="Calibri" w:hAnsi="David" w:cs="David"/>
          <w:sz w:val="24"/>
          <w:szCs w:val="24"/>
          <w:rtl/>
        </w:rPr>
        <w:t>טנה</w:t>
      </w:r>
      <w:proofErr w:type="spellEnd"/>
      <w:r w:rsidRPr="0010264C">
        <w:rPr>
          <w:rFonts w:ascii="David" w:eastAsia="Calibri" w:hAnsi="David" w:cs="David"/>
          <w:sz w:val="24"/>
          <w:szCs w:val="24"/>
          <w:rtl/>
        </w:rPr>
        <w:t xml:space="preserve"> </w:t>
      </w:r>
      <w:proofErr w:type="spellStart"/>
      <w:r w:rsidRPr="0010264C">
        <w:rPr>
          <w:rFonts w:ascii="David" w:eastAsia="Calibri" w:hAnsi="David" w:cs="David"/>
          <w:sz w:val="24"/>
          <w:szCs w:val="24"/>
          <w:rtl/>
        </w:rPr>
        <w:t>שפניץ</w:t>
      </w:r>
      <w:proofErr w:type="spellEnd"/>
      <w:r w:rsidRPr="0010264C">
        <w:rPr>
          <w:rFonts w:ascii="David" w:eastAsia="Calibri" w:hAnsi="David" w:cs="David"/>
          <w:sz w:val="24"/>
          <w:szCs w:val="24"/>
          <w:rtl/>
        </w:rPr>
        <w:t xml:space="preserve"> "חוק שירות נתוני אשראי – הישורת האחרונה" </w:t>
      </w:r>
      <w:r w:rsidRPr="0010264C">
        <w:rPr>
          <w:rFonts w:ascii="David" w:eastAsia="Calibri" w:hAnsi="David" w:cs="David"/>
          <w:b/>
          <w:bCs/>
          <w:sz w:val="24"/>
          <w:szCs w:val="24"/>
          <w:rtl/>
        </w:rPr>
        <w:t>הפרקליט</w:t>
      </w:r>
      <w:r w:rsidRPr="0010264C">
        <w:rPr>
          <w:rFonts w:ascii="David" w:eastAsia="Calibri" w:hAnsi="David" w:cs="David"/>
          <w:sz w:val="24"/>
          <w:szCs w:val="24"/>
          <w:rtl/>
        </w:rPr>
        <w:t xml:space="preserve"> מה 375 (2001). </w:t>
      </w:r>
    </w:p>
    <w:p w:rsidR="00281A84" w:rsidRPr="0010264C" w:rsidRDefault="009E64BE"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eastAsia="Calibri" w:hAnsi="David" w:cs="David"/>
          <w:sz w:val="24"/>
          <w:szCs w:val="24"/>
        </w:rPr>
      </w:pPr>
      <w:r w:rsidRPr="0010264C">
        <w:rPr>
          <w:rFonts w:ascii="David" w:eastAsia="Calibri" w:hAnsi="David" w:cs="David"/>
          <w:b/>
          <w:bCs/>
          <w:sz w:val="24"/>
          <w:szCs w:val="24"/>
          <w:rtl/>
        </w:rPr>
        <w:t>דין וחשבון הוועדה לשיפור המערכת לשיתוף בנתוני אשראי</w:t>
      </w:r>
      <w:r w:rsidRPr="0010264C">
        <w:rPr>
          <w:rFonts w:ascii="David" w:eastAsia="Calibri" w:hAnsi="David" w:cs="David"/>
          <w:sz w:val="24"/>
          <w:szCs w:val="24"/>
          <w:rtl/>
        </w:rPr>
        <w:t xml:space="preserve"> (2015). נגיש </w:t>
      </w:r>
      <w:hyperlink r:id="rId16" w:history="1">
        <w:r w:rsidRPr="0010264C">
          <w:rPr>
            <w:rStyle w:val="Hyperlink"/>
            <w:rFonts w:ascii="David" w:eastAsia="Calibri" w:hAnsi="David" w:cs="David"/>
            <w:sz w:val="24"/>
            <w:szCs w:val="24"/>
            <w:rtl/>
          </w:rPr>
          <w:t>כאן</w:t>
        </w:r>
      </w:hyperlink>
      <w:r w:rsidRPr="0010264C">
        <w:rPr>
          <w:rFonts w:ascii="David" w:eastAsia="Calibri" w:hAnsi="David" w:cs="David"/>
          <w:sz w:val="24"/>
          <w:szCs w:val="24"/>
          <w:rtl/>
        </w:rPr>
        <w:t xml:space="preserve">. </w:t>
      </w:r>
    </w:p>
    <w:p w:rsidR="0047786A" w:rsidRPr="0010264C" w:rsidRDefault="0047786A"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eastAsia="Calibri" w:hAnsi="David" w:cs="David"/>
          <w:sz w:val="24"/>
          <w:szCs w:val="24"/>
        </w:rPr>
      </w:pPr>
      <w:r w:rsidRPr="0010264C">
        <w:rPr>
          <w:rFonts w:ascii="David" w:eastAsia="Calibri" w:hAnsi="David" w:cs="David"/>
          <w:sz w:val="24"/>
          <w:szCs w:val="24"/>
          <w:rtl/>
        </w:rPr>
        <w:t>גילוי דעת ציבורי: הצעת חוק נתוני אשראי הנדונה בוועדת הכלכלה היא ניסוי מסוכן</w:t>
      </w:r>
      <w:r w:rsidRPr="0010264C">
        <w:rPr>
          <w:rFonts w:ascii="David" w:hAnsi="David" w:cs="David"/>
          <w:sz w:val="24"/>
          <w:szCs w:val="24"/>
          <w:rtl/>
        </w:rPr>
        <w:t xml:space="preserve"> (המרכז לצדק חברתי ודמוקרטיה ע"ש יעקב חזן במכון </w:t>
      </w:r>
      <w:proofErr w:type="spellStart"/>
      <w:r w:rsidRPr="0010264C">
        <w:rPr>
          <w:rFonts w:ascii="David" w:hAnsi="David" w:cs="David"/>
          <w:sz w:val="24"/>
          <w:szCs w:val="24"/>
          <w:rtl/>
        </w:rPr>
        <w:t>ון</w:t>
      </w:r>
      <w:proofErr w:type="spellEnd"/>
      <w:r w:rsidRPr="0010264C">
        <w:rPr>
          <w:rFonts w:ascii="David" w:hAnsi="David" w:cs="David"/>
          <w:sz w:val="24"/>
          <w:szCs w:val="24"/>
          <w:rtl/>
        </w:rPr>
        <w:t xml:space="preserve"> ליר ירושלים, 2016).</w:t>
      </w:r>
      <w:r w:rsidRPr="0010264C">
        <w:rPr>
          <w:rFonts w:ascii="David" w:eastAsia="Calibri" w:hAnsi="David" w:cs="David"/>
          <w:sz w:val="24"/>
          <w:szCs w:val="24"/>
          <w:rtl/>
        </w:rPr>
        <w:t xml:space="preserve"> ראו גם הקישור </w:t>
      </w:r>
      <w:hyperlink r:id="rId17" w:history="1">
        <w:r w:rsidRPr="0010264C">
          <w:rPr>
            <w:rStyle w:val="Hyperlink"/>
            <w:rFonts w:ascii="David" w:eastAsia="Calibri" w:hAnsi="David" w:cs="David"/>
            <w:sz w:val="24"/>
            <w:szCs w:val="24"/>
            <w:rtl/>
          </w:rPr>
          <w:t>כאן</w:t>
        </w:r>
      </w:hyperlink>
      <w:r w:rsidRPr="0010264C">
        <w:rPr>
          <w:rFonts w:ascii="David" w:eastAsia="Calibri" w:hAnsi="David" w:cs="David"/>
          <w:sz w:val="24"/>
          <w:szCs w:val="24"/>
          <w:rtl/>
        </w:rPr>
        <w:t xml:space="preserve">. </w:t>
      </w:r>
    </w:p>
    <w:p w:rsidR="0047786A" w:rsidRPr="0010264C" w:rsidRDefault="0047786A"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eastAsia="Calibri" w:hAnsi="David" w:cs="David"/>
          <w:sz w:val="24"/>
          <w:szCs w:val="24"/>
          <w:rtl/>
        </w:rPr>
      </w:pPr>
      <w:r w:rsidRPr="0010264C">
        <w:rPr>
          <w:rFonts w:ascii="David" w:eastAsia="Calibri" w:hAnsi="David" w:cs="David"/>
          <w:sz w:val="24"/>
          <w:szCs w:val="24"/>
          <w:rtl/>
        </w:rPr>
        <w:t xml:space="preserve">המועצה להגנת הפרטיות "נייר עמדה בנושא הצעת חוק נתוני אשראי, התשע"ו-2015" (2015). </w:t>
      </w:r>
    </w:p>
    <w:p w:rsidR="00FB7E70" w:rsidRPr="0010264C" w:rsidRDefault="00E03695"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eastAsia="Calibri" w:hAnsi="David" w:cs="David"/>
          <w:sz w:val="24"/>
          <w:szCs w:val="24"/>
        </w:rPr>
      </w:pPr>
      <w:r w:rsidRPr="0010264C">
        <w:rPr>
          <w:rFonts w:ascii="David" w:eastAsia="Calibri" w:hAnsi="David" w:cs="David"/>
          <w:sz w:val="24"/>
          <w:szCs w:val="24"/>
          <w:rtl/>
        </w:rPr>
        <w:t>דוד לוי-</w:t>
      </w:r>
      <w:proofErr w:type="spellStart"/>
      <w:r w:rsidR="00FB7E70" w:rsidRPr="0010264C">
        <w:rPr>
          <w:rFonts w:ascii="David" w:eastAsia="Calibri" w:hAnsi="David" w:cs="David"/>
          <w:sz w:val="24"/>
          <w:szCs w:val="24"/>
          <w:rtl/>
        </w:rPr>
        <w:t>פאור</w:t>
      </w:r>
      <w:proofErr w:type="spellEnd"/>
      <w:r w:rsidRPr="0010264C">
        <w:rPr>
          <w:rFonts w:ascii="David" w:eastAsia="Calibri" w:hAnsi="David" w:cs="David"/>
          <w:sz w:val="24"/>
          <w:szCs w:val="24"/>
          <w:rtl/>
        </w:rPr>
        <w:t xml:space="preserve"> ורמי </w:t>
      </w:r>
      <w:proofErr w:type="spellStart"/>
      <w:r w:rsidRPr="0010264C">
        <w:rPr>
          <w:rFonts w:ascii="David" w:eastAsia="Calibri" w:hAnsi="David" w:cs="David"/>
          <w:sz w:val="24"/>
          <w:szCs w:val="24"/>
          <w:rtl/>
        </w:rPr>
        <w:t>אדוט</w:t>
      </w:r>
      <w:proofErr w:type="spellEnd"/>
      <w:r w:rsidR="00FB7E70" w:rsidRPr="0010264C">
        <w:rPr>
          <w:rFonts w:ascii="David" w:eastAsia="Calibri" w:hAnsi="David" w:cs="David"/>
          <w:sz w:val="24"/>
          <w:szCs w:val="24"/>
          <w:rtl/>
        </w:rPr>
        <w:t xml:space="preserve"> "מאגר נתוני אשראי – הצעת חוק ממשלתית" (המרכז לצדק חברתי ודמוקרטיה ע"ש יעקב חזן במכון </w:t>
      </w:r>
      <w:proofErr w:type="spellStart"/>
      <w:r w:rsidR="00FB7E70" w:rsidRPr="0010264C">
        <w:rPr>
          <w:rFonts w:ascii="David" w:eastAsia="Calibri" w:hAnsi="David" w:cs="David"/>
          <w:sz w:val="24"/>
          <w:szCs w:val="24"/>
          <w:rtl/>
        </w:rPr>
        <w:t>ון</w:t>
      </w:r>
      <w:proofErr w:type="spellEnd"/>
      <w:r w:rsidR="00FB7E70" w:rsidRPr="0010264C">
        <w:rPr>
          <w:rFonts w:ascii="David" w:eastAsia="Calibri" w:hAnsi="David" w:cs="David"/>
          <w:sz w:val="24"/>
          <w:szCs w:val="24"/>
          <w:rtl/>
        </w:rPr>
        <w:t xml:space="preserve"> ליר ירושלים, 2015). נגיש </w:t>
      </w:r>
      <w:hyperlink r:id="rId18" w:history="1">
        <w:r w:rsidR="00FB7E70" w:rsidRPr="0010264C">
          <w:rPr>
            <w:rStyle w:val="Hyperlink"/>
            <w:rFonts w:ascii="David" w:eastAsia="Calibri" w:hAnsi="David" w:cs="David"/>
            <w:sz w:val="24"/>
            <w:szCs w:val="24"/>
            <w:rtl/>
          </w:rPr>
          <w:t>כאן</w:t>
        </w:r>
      </w:hyperlink>
      <w:r w:rsidR="00FB7E70" w:rsidRPr="0010264C">
        <w:rPr>
          <w:rFonts w:ascii="David" w:eastAsia="Calibri" w:hAnsi="David" w:cs="David"/>
          <w:sz w:val="24"/>
          <w:szCs w:val="24"/>
          <w:rtl/>
        </w:rPr>
        <w:t xml:space="preserve">. </w:t>
      </w:r>
    </w:p>
    <w:p w:rsidR="00E03695" w:rsidRPr="0010264C" w:rsidRDefault="00E03695" w:rsidP="00E03695">
      <w:pPr>
        <w:pStyle w:val="a5"/>
        <w:widowControl w:val="0"/>
        <w:numPr>
          <w:ilvl w:val="0"/>
          <w:numId w:val="16"/>
        </w:numPr>
        <w:tabs>
          <w:tab w:val="left" w:pos="84"/>
          <w:tab w:val="center" w:pos="4153"/>
          <w:tab w:val="right" w:pos="8306"/>
        </w:tabs>
        <w:spacing w:after="120" w:line="360" w:lineRule="auto"/>
        <w:ind w:left="0" w:hanging="625"/>
        <w:jc w:val="both"/>
        <w:rPr>
          <w:rFonts w:ascii="David" w:eastAsia="Calibri" w:hAnsi="David" w:cs="David"/>
          <w:sz w:val="24"/>
          <w:szCs w:val="24"/>
        </w:rPr>
      </w:pPr>
      <w:r w:rsidRPr="0010264C">
        <w:rPr>
          <w:rFonts w:ascii="David" w:eastAsia="Times New Roman" w:hAnsi="David" w:cs="David"/>
          <w:sz w:val="24"/>
          <w:szCs w:val="24"/>
          <w:rtl/>
        </w:rPr>
        <w:t>דוד לוי-</w:t>
      </w:r>
      <w:proofErr w:type="spellStart"/>
      <w:r w:rsidRPr="0010264C">
        <w:rPr>
          <w:rFonts w:ascii="David" w:eastAsia="Times New Roman" w:hAnsi="David" w:cs="David"/>
          <w:sz w:val="24"/>
          <w:szCs w:val="24"/>
          <w:rtl/>
        </w:rPr>
        <w:t>פאור</w:t>
      </w:r>
      <w:proofErr w:type="spellEnd"/>
      <w:r w:rsidRPr="0010264C">
        <w:rPr>
          <w:rFonts w:ascii="David" w:eastAsia="Times New Roman" w:hAnsi="David" w:cs="David"/>
          <w:sz w:val="24"/>
          <w:szCs w:val="24"/>
          <w:rtl/>
        </w:rPr>
        <w:t xml:space="preserve"> ורמי </w:t>
      </w:r>
      <w:proofErr w:type="spellStart"/>
      <w:r w:rsidRPr="0010264C">
        <w:rPr>
          <w:rFonts w:ascii="David" w:eastAsia="Times New Roman" w:hAnsi="David" w:cs="David"/>
          <w:sz w:val="24"/>
          <w:szCs w:val="24"/>
          <w:rtl/>
        </w:rPr>
        <w:t>אדוט</w:t>
      </w:r>
      <w:proofErr w:type="spellEnd"/>
      <w:r w:rsidRPr="0010264C">
        <w:rPr>
          <w:rFonts w:ascii="David" w:eastAsia="Times New Roman" w:hAnsi="David" w:cs="David"/>
          <w:sz w:val="24"/>
          <w:szCs w:val="24"/>
          <w:rtl/>
        </w:rPr>
        <w:t xml:space="preserve"> "גילוי דעת ציבורי הצעת חוק נתוני אשראי הנדונה בוועדת הכלכלה היא ניסוי מסוכן" (8.2.2016)</w:t>
      </w:r>
      <w:r w:rsidRPr="0010264C">
        <w:rPr>
          <w:rFonts w:ascii="David" w:eastAsia="Calibri" w:hAnsi="David" w:cs="David"/>
          <w:sz w:val="24"/>
          <w:szCs w:val="24"/>
          <w:rtl/>
        </w:rPr>
        <w:t xml:space="preserve"> נגיש </w:t>
      </w:r>
      <w:hyperlink r:id="rId19" w:anchor="q=%D7%92%D7%99%D7%9C%D7%95%D7%99+%D7%93%D7%A2%D7%AA+%D7%A6%D7%99%D7%91%D7%95%D7%A8%D7%99+%D7%94%D7%A6%D7%A2%D7%AA+%D7%97%D7%95%D7%A7+%D7%A0%D7%AA%D7%95%D7%A0%D7%99+%D7%90%D7%A9%D7%A8%D7%90%D7%99+%D7%A0%D7%93%D7%95%D7%A0%D7%94+%D7%91%D7%95%D7%95%D7%A2%D7%9" w:history="1">
        <w:r w:rsidRPr="0010264C">
          <w:rPr>
            <w:rStyle w:val="Hyperlink"/>
            <w:rFonts w:ascii="David" w:eastAsia="Calibri" w:hAnsi="David" w:cs="David"/>
            <w:sz w:val="24"/>
            <w:szCs w:val="24"/>
            <w:rtl/>
          </w:rPr>
          <w:t>כאן</w:t>
        </w:r>
      </w:hyperlink>
      <w:r w:rsidRPr="0010264C">
        <w:rPr>
          <w:rFonts w:ascii="David" w:eastAsia="Calibri" w:hAnsi="David" w:cs="David"/>
          <w:sz w:val="24"/>
          <w:szCs w:val="24"/>
          <w:rtl/>
        </w:rPr>
        <w:t xml:space="preserve">. </w:t>
      </w:r>
    </w:p>
    <w:p w:rsidR="00E03695" w:rsidRPr="0010264C" w:rsidRDefault="00E03695"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eastAsia="Calibri" w:hAnsi="David" w:cs="David"/>
          <w:sz w:val="24"/>
          <w:szCs w:val="24"/>
        </w:rPr>
      </w:pPr>
      <w:r w:rsidRPr="0010264C">
        <w:rPr>
          <w:rFonts w:ascii="David" w:eastAsia="Calibri" w:hAnsi="David" w:cs="David"/>
          <w:sz w:val="24"/>
          <w:szCs w:val="24"/>
          <w:rtl/>
        </w:rPr>
        <w:lastRenderedPageBreak/>
        <w:t xml:space="preserve">מיכל קרמר נבו, </w:t>
      </w:r>
      <w:proofErr w:type="spellStart"/>
      <w:r w:rsidRPr="0010264C">
        <w:rPr>
          <w:rFonts w:ascii="David" w:eastAsia="Calibri" w:hAnsi="David" w:cs="David"/>
          <w:sz w:val="24"/>
          <w:szCs w:val="24"/>
          <w:rtl/>
        </w:rPr>
        <w:t>אנסטסיה</w:t>
      </w:r>
      <w:proofErr w:type="spellEnd"/>
      <w:r w:rsidRPr="0010264C">
        <w:rPr>
          <w:rFonts w:ascii="David" w:eastAsia="Calibri" w:hAnsi="David" w:cs="David"/>
          <w:sz w:val="24"/>
          <w:szCs w:val="24"/>
          <w:rtl/>
        </w:rPr>
        <w:t xml:space="preserve"> </w:t>
      </w:r>
      <w:proofErr w:type="spellStart"/>
      <w:r w:rsidRPr="0010264C">
        <w:rPr>
          <w:rFonts w:ascii="David" w:eastAsia="Calibri" w:hAnsi="David" w:cs="David"/>
          <w:sz w:val="24"/>
          <w:szCs w:val="24"/>
          <w:rtl/>
        </w:rPr>
        <w:t>גורודזייסקי</w:t>
      </w:r>
      <w:proofErr w:type="spellEnd"/>
      <w:r w:rsidRPr="0010264C">
        <w:rPr>
          <w:rFonts w:ascii="David" w:eastAsia="Calibri" w:hAnsi="David" w:cs="David"/>
          <w:sz w:val="24"/>
          <w:szCs w:val="24"/>
          <w:rtl/>
        </w:rPr>
        <w:t xml:space="preserve"> ויובל סעד-</w:t>
      </w:r>
      <w:proofErr w:type="spellStart"/>
      <w:r w:rsidRPr="0010264C">
        <w:rPr>
          <w:rFonts w:ascii="David" w:eastAsia="Calibri" w:hAnsi="David" w:cs="David"/>
          <w:sz w:val="24"/>
          <w:szCs w:val="24"/>
          <w:rtl/>
        </w:rPr>
        <w:t>הימן</w:t>
      </w:r>
      <w:proofErr w:type="spellEnd"/>
      <w:r w:rsidRPr="0010264C">
        <w:rPr>
          <w:rFonts w:ascii="David" w:eastAsia="Calibri" w:hAnsi="David" w:cs="David"/>
          <w:sz w:val="24"/>
          <w:szCs w:val="24"/>
          <w:rtl/>
        </w:rPr>
        <w:t xml:space="preserve"> "חובות, עוני והדרה כלכלית" </w:t>
      </w:r>
      <w:r w:rsidRPr="0010264C">
        <w:rPr>
          <w:rFonts w:ascii="David" w:eastAsia="Calibri" w:hAnsi="David" w:cs="David"/>
          <w:b/>
          <w:bCs/>
          <w:sz w:val="24"/>
          <w:szCs w:val="24"/>
          <w:rtl/>
        </w:rPr>
        <w:t>ביטחון סוציאלי</w:t>
      </w:r>
      <w:r w:rsidRPr="0010264C">
        <w:rPr>
          <w:rFonts w:ascii="David" w:eastAsia="Calibri" w:hAnsi="David" w:cs="David"/>
          <w:sz w:val="24"/>
          <w:szCs w:val="24"/>
          <w:rtl/>
        </w:rPr>
        <w:t xml:space="preserve"> 95, 11 (2014). </w:t>
      </w:r>
    </w:p>
    <w:p w:rsidR="00E03695" w:rsidRPr="0010264C" w:rsidRDefault="00E03695" w:rsidP="00E03695">
      <w:pPr>
        <w:pStyle w:val="a5"/>
        <w:widowControl w:val="0"/>
        <w:numPr>
          <w:ilvl w:val="0"/>
          <w:numId w:val="16"/>
        </w:numPr>
        <w:tabs>
          <w:tab w:val="left" w:pos="84"/>
          <w:tab w:val="center" w:pos="4153"/>
          <w:tab w:val="right" w:pos="8306"/>
        </w:tabs>
        <w:spacing w:after="120" w:line="360" w:lineRule="auto"/>
        <w:ind w:left="0" w:hanging="625"/>
        <w:jc w:val="both"/>
        <w:rPr>
          <w:rFonts w:ascii="David" w:eastAsia="Calibri" w:hAnsi="David" w:cs="David"/>
          <w:sz w:val="24"/>
          <w:szCs w:val="24"/>
        </w:rPr>
      </w:pPr>
      <w:r w:rsidRPr="0010264C">
        <w:rPr>
          <w:rFonts w:ascii="David" w:eastAsia="Calibri" w:hAnsi="David" w:cs="David"/>
          <w:sz w:val="24"/>
          <w:szCs w:val="24"/>
          <w:rtl/>
        </w:rPr>
        <w:t xml:space="preserve">ענבר מזרחי </w:t>
      </w:r>
      <w:r w:rsidRPr="0010264C">
        <w:rPr>
          <w:rFonts w:ascii="David" w:eastAsia="Calibri" w:hAnsi="David" w:cs="David"/>
          <w:b/>
          <w:bCs/>
          <w:sz w:val="24"/>
          <w:szCs w:val="24"/>
          <w:rtl/>
        </w:rPr>
        <w:t>משטר האיסוף, הדירוג והמסחור בנתוני אשראי של אזרחים בישראל: ממשטר מגביל למשטר מתירני?</w:t>
      </w:r>
      <w:r w:rsidRPr="0010264C">
        <w:rPr>
          <w:rFonts w:ascii="David" w:eastAsia="Calibri" w:hAnsi="David" w:cs="David"/>
          <w:sz w:val="24"/>
          <w:szCs w:val="24"/>
          <w:rtl/>
        </w:rPr>
        <w:t xml:space="preserve"> (האוניברסיטה העברית בירושלים, 2015). </w:t>
      </w:r>
    </w:p>
    <w:p w:rsidR="00DC75EE" w:rsidRPr="0010264C" w:rsidRDefault="00DC75EE" w:rsidP="00E15FFF">
      <w:pPr>
        <w:pStyle w:val="a5"/>
        <w:widowControl w:val="0"/>
        <w:tabs>
          <w:tab w:val="left" w:pos="84"/>
          <w:tab w:val="center" w:pos="4153"/>
          <w:tab w:val="right" w:pos="8306"/>
        </w:tabs>
        <w:spacing w:after="120" w:line="360" w:lineRule="auto"/>
        <w:ind w:left="0" w:hanging="625"/>
        <w:jc w:val="both"/>
        <w:rPr>
          <w:rFonts w:ascii="David" w:eastAsia="Calibri" w:hAnsi="David" w:cs="David"/>
          <w:sz w:val="24"/>
          <w:szCs w:val="24"/>
          <w:rtl/>
        </w:rPr>
      </w:pPr>
    </w:p>
    <w:p w:rsidR="00FB7E70" w:rsidRPr="0010264C" w:rsidRDefault="00DC75EE" w:rsidP="00E15FFF">
      <w:pPr>
        <w:pStyle w:val="a5"/>
        <w:widowControl w:val="0"/>
        <w:numPr>
          <w:ilvl w:val="0"/>
          <w:numId w:val="17"/>
        </w:numPr>
        <w:tabs>
          <w:tab w:val="left" w:pos="84"/>
          <w:tab w:val="center" w:pos="4153"/>
          <w:tab w:val="right" w:pos="8306"/>
        </w:tabs>
        <w:spacing w:after="120" w:line="360" w:lineRule="auto"/>
        <w:ind w:left="0" w:hanging="625"/>
        <w:rPr>
          <w:rFonts w:ascii="David" w:eastAsia="Calibri" w:hAnsi="David" w:cs="David"/>
          <w:b/>
          <w:bCs/>
          <w:sz w:val="24"/>
          <w:szCs w:val="24"/>
          <w:u w:val="single"/>
        </w:rPr>
      </w:pPr>
      <w:r w:rsidRPr="0010264C">
        <w:rPr>
          <w:rFonts w:ascii="David" w:eastAsia="Calibri" w:hAnsi="David" w:cs="David"/>
          <w:b/>
          <w:bCs/>
          <w:sz w:val="24"/>
          <w:szCs w:val="24"/>
          <w:u w:val="single"/>
          <w:rtl/>
        </w:rPr>
        <w:t xml:space="preserve">סדרי הדין </w:t>
      </w:r>
      <w:proofErr w:type="spellStart"/>
      <w:r w:rsidRPr="0010264C">
        <w:rPr>
          <w:rFonts w:ascii="David" w:eastAsia="Calibri" w:hAnsi="David" w:cs="David"/>
          <w:b/>
          <w:bCs/>
          <w:sz w:val="24"/>
          <w:szCs w:val="24"/>
          <w:u w:val="single"/>
          <w:rtl/>
        </w:rPr>
        <w:t>בבג"צ</w:t>
      </w:r>
      <w:proofErr w:type="spellEnd"/>
    </w:p>
    <w:p w:rsidR="00DC75EE" w:rsidRPr="0010264C" w:rsidRDefault="00DC75EE"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eastAsia="Calibri" w:hAnsi="David" w:cs="David"/>
          <w:sz w:val="24"/>
          <w:szCs w:val="24"/>
        </w:rPr>
      </w:pPr>
      <w:r w:rsidRPr="0010264C">
        <w:rPr>
          <w:rFonts w:ascii="David" w:eastAsia="Calibri" w:hAnsi="David" w:cs="David"/>
          <w:sz w:val="24"/>
          <w:szCs w:val="24"/>
          <w:rtl/>
        </w:rPr>
        <w:t>תקנות סדר הדין בבית המשפט הגבוה לצדק, התשמ"ד-1984.</w:t>
      </w:r>
    </w:p>
    <w:p w:rsidR="00DC75EE" w:rsidRPr="0010264C" w:rsidRDefault="00DC75EE"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eastAsia="Calibri" w:hAnsi="David" w:cs="David"/>
          <w:sz w:val="24"/>
          <w:szCs w:val="24"/>
        </w:rPr>
      </w:pPr>
      <w:r w:rsidRPr="0010264C">
        <w:rPr>
          <w:rFonts w:ascii="David" w:eastAsia="Calibri" w:hAnsi="David" w:cs="David"/>
          <w:sz w:val="24"/>
          <w:szCs w:val="24"/>
          <w:rtl/>
        </w:rPr>
        <w:t xml:space="preserve">רענן הר זהב </w:t>
      </w:r>
      <w:r w:rsidRPr="00ED7F60">
        <w:rPr>
          <w:rFonts w:ascii="David" w:eastAsia="Calibri" w:hAnsi="David" w:cs="David"/>
          <w:b/>
          <w:bCs/>
          <w:sz w:val="24"/>
          <w:szCs w:val="24"/>
          <w:rtl/>
        </w:rPr>
        <w:t>סדר הדין בבית המשפט הגבוה לצדק</w:t>
      </w:r>
      <w:r w:rsidRPr="0010264C">
        <w:rPr>
          <w:rFonts w:ascii="David" w:eastAsia="Calibri" w:hAnsi="David" w:cs="David"/>
          <w:sz w:val="24"/>
          <w:szCs w:val="24"/>
          <w:rtl/>
        </w:rPr>
        <w:t xml:space="preserve"> (1991)</w:t>
      </w:r>
      <w:r w:rsidR="003250F2" w:rsidRPr="0010264C">
        <w:rPr>
          <w:rFonts w:ascii="David" w:eastAsia="Calibri" w:hAnsi="David" w:cs="David"/>
          <w:sz w:val="24"/>
          <w:szCs w:val="24"/>
          <w:rtl/>
        </w:rPr>
        <w:t>.</w:t>
      </w:r>
    </w:p>
    <w:p w:rsidR="003250F2" w:rsidRPr="0010264C" w:rsidRDefault="003250F2"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eastAsia="Calibri" w:hAnsi="David" w:cs="David"/>
          <w:sz w:val="24"/>
          <w:szCs w:val="24"/>
        </w:rPr>
      </w:pPr>
      <w:r w:rsidRPr="0010264C">
        <w:rPr>
          <w:rFonts w:ascii="David" w:eastAsia="Calibri" w:hAnsi="David" w:cs="David"/>
          <w:sz w:val="24"/>
          <w:szCs w:val="24"/>
          <w:rtl/>
        </w:rPr>
        <w:t xml:space="preserve">אליעד שרגא ורועי שחר </w:t>
      </w:r>
      <w:r w:rsidRPr="0010264C">
        <w:rPr>
          <w:rFonts w:ascii="David" w:eastAsia="Calibri" w:hAnsi="David" w:cs="David"/>
          <w:b/>
          <w:bCs/>
          <w:sz w:val="24"/>
          <w:szCs w:val="24"/>
          <w:rtl/>
        </w:rPr>
        <w:t>המשפט המנהלי: עילות הסף</w:t>
      </w:r>
      <w:r w:rsidRPr="0010264C">
        <w:rPr>
          <w:rFonts w:ascii="David" w:eastAsia="Calibri" w:hAnsi="David" w:cs="David"/>
          <w:sz w:val="24"/>
          <w:szCs w:val="24"/>
          <w:rtl/>
        </w:rPr>
        <w:t xml:space="preserve"> כרך ב' (2009).</w:t>
      </w:r>
    </w:p>
    <w:p w:rsidR="007747BE" w:rsidRPr="0010264C" w:rsidRDefault="003250F2" w:rsidP="00E15FFF">
      <w:pPr>
        <w:pStyle w:val="a5"/>
        <w:widowControl w:val="0"/>
        <w:numPr>
          <w:ilvl w:val="0"/>
          <w:numId w:val="16"/>
        </w:numPr>
        <w:tabs>
          <w:tab w:val="left" w:pos="84"/>
          <w:tab w:val="center" w:pos="4153"/>
          <w:tab w:val="right" w:pos="8306"/>
        </w:tabs>
        <w:spacing w:after="120" w:line="360" w:lineRule="auto"/>
        <w:ind w:left="0" w:hanging="625"/>
        <w:jc w:val="both"/>
        <w:rPr>
          <w:rFonts w:ascii="David" w:eastAsia="Calibri" w:hAnsi="David" w:cs="David"/>
          <w:sz w:val="24"/>
          <w:szCs w:val="24"/>
        </w:rPr>
      </w:pPr>
      <w:r w:rsidRPr="0010264C">
        <w:rPr>
          <w:rFonts w:ascii="David" w:hAnsi="David" w:cs="David"/>
          <w:sz w:val="24"/>
          <w:szCs w:val="24"/>
          <w:rtl/>
        </w:rPr>
        <w:t xml:space="preserve">אליעד שרגא ורועי שחר </w:t>
      </w:r>
      <w:r w:rsidRPr="0010264C">
        <w:rPr>
          <w:rFonts w:ascii="David" w:hAnsi="David" w:cs="David"/>
          <w:b/>
          <w:bCs/>
          <w:sz w:val="24"/>
          <w:szCs w:val="24"/>
          <w:rtl/>
        </w:rPr>
        <w:t xml:space="preserve">המשפט המנהלי: סדרי הדין והראיות </w:t>
      </w:r>
      <w:proofErr w:type="spellStart"/>
      <w:r w:rsidRPr="0010264C">
        <w:rPr>
          <w:rFonts w:ascii="David" w:hAnsi="David" w:cs="David"/>
          <w:b/>
          <w:bCs/>
          <w:sz w:val="24"/>
          <w:szCs w:val="24"/>
          <w:rtl/>
        </w:rPr>
        <w:t>בבג"צ</w:t>
      </w:r>
      <w:proofErr w:type="spellEnd"/>
      <w:r w:rsidRPr="0010264C">
        <w:rPr>
          <w:rFonts w:ascii="David" w:eastAsia="Calibri" w:hAnsi="David" w:cs="David"/>
          <w:sz w:val="24"/>
          <w:szCs w:val="24"/>
          <w:rtl/>
        </w:rPr>
        <w:t xml:space="preserve"> כרך ה' (2010).</w:t>
      </w:r>
    </w:p>
    <w:sectPr w:rsidR="007747BE" w:rsidRPr="0010264C" w:rsidSect="0099126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4C" w:rsidRDefault="0010264C" w:rsidP="0010264C">
      <w:pPr>
        <w:spacing w:after="0" w:line="240" w:lineRule="auto"/>
      </w:pPr>
      <w:r>
        <w:separator/>
      </w:r>
    </w:p>
  </w:endnote>
  <w:endnote w:type="continuationSeparator" w:id="0">
    <w:p w:rsidR="0010264C" w:rsidRDefault="0010264C" w:rsidP="0010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4C" w:rsidRDefault="0010264C" w:rsidP="0010264C">
      <w:pPr>
        <w:spacing w:after="0" w:line="240" w:lineRule="auto"/>
      </w:pPr>
      <w:r>
        <w:separator/>
      </w:r>
    </w:p>
  </w:footnote>
  <w:footnote w:type="continuationSeparator" w:id="0">
    <w:p w:rsidR="0010264C" w:rsidRDefault="0010264C" w:rsidP="00102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ABF"/>
    <w:multiLevelType w:val="hybridMultilevel"/>
    <w:tmpl w:val="75C20C50"/>
    <w:lvl w:ilvl="0" w:tplc="3C643E10">
      <w:start w:val="1"/>
      <w:numFmt w:val="hebrew1"/>
      <w:lvlText w:val="(%1)"/>
      <w:lvlJc w:val="left"/>
      <w:pPr>
        <w:ind w:left="3195" w:hanging="360"/>
      </w:pPr>
      <w:rPr>
        <w:rFonts w:ascii="David" w:hAnsi="David" w:cs="David" w:hint="default"/>
        <w:sz w:val="24"/>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nsid w:val="093906C8"/>
    <w:multiLevelType w:val="hybridMultilevel"/>
    <w:tmpl w:val="A424989C"/>
    <w:lvl w:ilvl="0" w:tplc="172A109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95605"/>
    <w:multiLevelType w:val="hybridMultilevel"/>
    <w:tmpl w:val="A424989C"/>
    <w:lvl w:ilvl="0" w:tplc="172A109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297C42"/>
    <w:multiLevelType w:val="hybridMultilevel"/>
    <w:tmpl w:val="9C222B8C"/>
    <w:lvl w:ilvl="0" w:tplc="7CAAEFE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697F2A"/>
    <w:multiLevelType w:val="hybridMultilevel"/>
    <w:tmpl w:val="03A2AD0A"/>
    <w:lvl w:ilvl="0" w:tplc="5A9CA88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9D6112"/>
    <w:multiLevelType w:val="hybridMultilevel"/>
    <w:tmpl w:val="03A2AD0A"/>
    <w:lvl w:ilvl="0" w:tplc="5A9CA88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5A72E6"/>
    <w:multiLevelType w:val="hybridMultilevel"/>
    <w:tmpl w:val="A424989C"/>
    <w:lvl w:ilvl="0" w:tplc="172A109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7C6D83"/>
    <w:multiLevelType w:val="hybridMultilevel"/>
    <w:tmpl w:val="87683ADE"/>
    <w:lvl w:ilvl="0" w:tplc="E25A54E4">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2221E"/>
    <w:multiLevelType w:val="hybridMultilevel"/>
    <w:tmpl w:val="1980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677C3"/>
    <w:multiLevelType w:val="multilevel"/>
    <w:tmpl w:val="6636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E23483"/>
    <w:multiLevelType w:val="hybridMultilevel"/>
    <w:tmpl w:val="A424989C"/>
    <w:lvl w:ilvl="0" w:tplc="172A109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FA411E"/>
    <w:multiLevelType w:val="hybridMultilevel"/>
    <w:tmpl w:val="B8BC8FC2"/>
    <w:lvl w:ilvl="0" w:tplc="81E82B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859AD"/>
    <w:multiLevelType w:val="hybridMultilevel"/>
    <w:tmpl w:val="A424989C"/>
    <w:lvl w:ilvl="0" w:tplc="172A109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1C4DBC"/>
    <w:multiLevelType w:val="hybridMultilevel"/>
    <w:tmpl w:val="0658D1C0"/>
    <w:lvl w:ilvl="0" w:tplc="745EBC4C">
      <w:start w:val="1"/>
      <w:numFmt w:val="hebrew1"/>
      <w:lvlText w:val="%1."/>
      <w:lvlJc w:val="left"/>
      <w:pPr>
        <w:ind w:left="19" w:hanging="360"/>
      </w:pPr>
      <w:rPr>
        <w:rFonts w:hint="default"/>
        <w:b/>
        <w:bCs w:val="0"/>
        <w:sz w:val="24"/>
        <w:szCs w:val="24"/>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4">
    <w:nsid w:val="734604D2"/>
    <w:multiLevelType w:val="hybridMultilevel"/>
    <w:tmpl w:val="497EC9F4"/>
    <w:lvl w:ilvl="0" w:tplc="2E467EE2">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B8512F"/>
    <w:multiLevelType w:val="hybridMultilevel"/>
    <w:tmpl w:val="0A1632B6"/>
    <w:lvl w:ilvl="0" w:tplc="F0E2D1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242BE"/>
    <w:multiLevelType w:val="hybridMultilevel"/>
    <w:tmpl w:val="61DA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3"/>
  </w:num>
  <w:num w:numId="5">
    <w:abstractNumId w:val="4"/>
  </w:num>
  <w:num w:numId="6">
    <w:abstractNumId w:val="0"/>
  </w:num>
  <w:num w:numId="7">
    <w:abstractNumId w:val="5"/>
  </w:num>
  <w:num w:numId="8">
    <w:abstractNumId w:val="10"/>
  </w:num>
  <w:num w:numId="9">
    <w:abstractNumId w:val="12"/>
  </w:num>
  <w:num w:numId="10">
    <w:abstractNumId w:val="1"/>
  </w:num>
  <w:num w:numId="11">
    <w:abstractNumId w:val="14"/>
  </w:num>
  <w:num w:numId="12">
    <w:abstractNumId w:val="11"/>
  </w:num>
  <w:num w:numId="13">
    <w:abstractNumId w:val="2"/>
  </w:num>
  <w:num w:numId="14">
    <w:abstractNumId w:val="9"/>
  </w:num>
  <w:num w:numId="15">
    <w:abstractNumId w:val="1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52"/>
    <w:rsid w:val="0001472A"/>
    <w:rsid w:val="000749E3"/>
    <w:rsid w:val="000E6335"/>
    <w:rsid w:val="0010264C"/>
    <w:rsid w:val="0011665A"/>
    <w:rsid w:val="00125568"/>
    <w:rsid w:val="00153CAA"/>
    <w:rsid w:val="001A7FDC"/>
    <w:rsid w:val="001B5215"/>
    <w:rsid w:val="00256832"/>
    <w:rsid w:val="00266535"/>
    <w:rsid w:val="00281A84"/>
    <w:rsid w:val="002A5640"/>
    <w:rsid w:val="002B3A78"/>
    <w:rsid w:val="002C0A70"/>
    <w:rsid w:val="002D5722"/>
    <w:rsid w:val="00317655"/>
    <w:rsid w:val="003250F2"/>
    <w:rsid w:val="00326D3C"/>
    <w:rsid w:val="00336AE3"/>
    <w:rsid w:val="00360667"/>
    <w:rsid w:val="003D41A5"/>
    <w:rsid w:val="003E2FFA"/>
    <w:rsid w:val="00403E95"/>
    <w:rsid w:val="004060AF"/>
    <w:rsid w:val="0047786A"/>
    <w:rsid w:val="004A09ED"/>
    <w:rsid w:val="0052141D"/>
    <w:rsid w:val="005A1278"/>
    <w:rsid w:val="00631DE7"/>
    <w:rsid w:val="006331E7"/>
    <w:rsid w:val="007515DF"/>
    <w:rsid w:val="007747BE"/>
    <w:rsid w:val="00795C02"/>
    <w:rsid w:val="007A7C06"/>
    <w:rsid w:val="00833F75"/>
    <w:rsid w:val="00852EC4"/>
    <w:rsid w:val="0087247F"/>
    <w:rsid w:val="008B4175"/>
    <w:rsid w:val="008C71F7"/>
    <w:rsid w:val="008D1055"/>
    <w:rsid w:val="008E1597"/>
    <w:rsid w:val="008E3A66"/>
    <w:rsid w:val="00986A5C"/>
    <w:rsid w:val="0099126B"/>
    <w:rsid w:val="009A7ECB"/>
    <w:rsid w:val="009E64BE"/>
    <w:rsid w:val="009F62F7"/>
    <w:rsid w:val="00A01168"/>
    <w:rsid w:val="00A84A0A"/>
    <w:rsid w:val="00AA073A"/>
    <w:rsid w:val="00AA153C"/>
    <w:rsid w:val="00AC5BA3"/>
    <w:rsid w:val="00AC7A7E"/>
    <w:rsid w:val="00B2370B"/>
    <w:rsid w:val="00B24400"/>
    <w:rsid w:val="00B62960"/>
    <w:rsid w:val="00B73390"/>
    <w:rsid w:val="00C05347"/>
    <w:rsid w:val="00C0761F"/>
    <w:rsid w:val="00C1364E"/>
    <w:rsid w:val="00C20F52"/>
    <w:rsid w:val="00C304E4"/>
    <w:rsid w:val="00C452E0"/>
    <w:rsid w:val="00CA4D5E"/>
    <w:rsid w:val="00CC3B2F"/>
    <w:rsid w:val="00CD248D"/>
    <w:rsid w:val="00CD7D03"/>
    <w:rsid w:val="00D4151C"/>
    <w:rsid w:val="00D4404D"/>
    <w:rsid w:val="00D6219F"/>
    <w:rsid w:val="00DC75EE"/>
    <w:rsid w:val="00E03695"/>
    <w:rsid w:val="00E15FFF"/>
    <w:rsid w:val="00E4707C"/>
    <w:rsid w:val="00E878CA"/>
    <w:rsid w:val="00ED7F60"/>
    <w:rsid w:val="00F0571E"/>
    <w:rsid w:val="00F25093"/>
    <w:rsid w:val="00F35BB7"/>
    <w:rsid w:val="00F56091"/>
    <w:rsid w:val="00F72E07"/>
    <w:rsid w:val="00F95310"/>
    <w:rsid w:val="00F970E9"/>
    <w:rsid w:val="00FB5B4C"/>
    <w:rsid w:val="00FB7E70"/>
    <w:rsid w:val="00FD2121"/>
    <w:rsid w:val="00FF6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1E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331E7"/>
    <w:rPr>
      <w:rFonts w:ascii="Tahoma" w:hAnsi="Tahoma" w:cs="Tahoma"/>
      <w:sz w:val="16"/>
      <w:szCs w:val="16"/>
    </w:rPr>
  </w:style>
  <w:style w:type="paragraph" w:styleId="a5">
    <w:name w:val="List Paragraph"/>
    <w:basedOn w:val="a"/>
    <w:uiPriority w:val="34"/>
    <w:qFormat/>
    <w:rsid w:val="00C452E0"/>
    <w:pPr>
      <w:ind w:left="720"/>
      <w:contextualSpacing/>
    </w:pPr>
  </w:style>
  <w:style w:type="paragraph" w:customStyle="1" w:styleId="P00">
    <w:name w:val="P00"/>
    <w:rsid w:val="00C452E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C452E0"/>
    <w:rPr>
      <w:rFonts w:ascii="Times New Roman" w:hAnsi="Times New Roman" w:cs="Times New Roman"/>
      <w:sz w:val="26"/>
      <w:szCs w:val="26"/>
    </w:rPr>
  </w:style>
  <w:style w:type="character" w:customStyle="1" w:styleId="text14">
    <w:name w:val="text14"/>
    <w:basedOn w:val="a0"/>
    <w:rsid w:val="00AA153C"/>
  </w:style>
  <w:style w:type="character" w:customStyle="1" w:styleId="highlight1">
    <w:name w:val="highlight1"/>
    <w:basedOn w:val="a0"/>
    <w:rsid w:val="00AA153C"/>
    <w:rPr>
      <w:shd w:val="clear" w:color="auto" w:fill="FFFF99"/>
    </w:rPr>
  </w:style>
  <w:style w:type="paragraph" w:styleId="a6">
    <w:name w:val="Revision"/>
    <w:hidden/>
    <w:uiPriority w:val="99"/>
    <w:semiHidden/>
    <w:rsid w:val="00631DE7"/>
    <w:pPr>
      <w:spacing w:after="0" w:line="240" w:lineRule="auto"/>
    </w:pPr>
  </w:style>
  <w:style w:type="character" w:styleId="Hyperlink">
    <w:name w:val="Hyperlink"/>
    <w:basedOn w:val="a0"/>
    <w:uiPriority w:val="99"/>
    <w:unhideWhenUsed/>
    <w:rsid w:val="000E6335"/>
    <w:rPr>
      <w:color w:val="0000FF" w:themeColor="hyperlink"/>
      <w:u w:val="single"/>
    </w:rPr>
  </w:style>
  <w:style w:type="character" w:styleId="FollowedHyperlink">
    <w:name w:val="FollowedHyperlink"/>
    <w:basedOn w:val="a0"/>
    <w:uiPriority w:val="99"/>
    <w:semiHidden/>
    <w:unhideWhenUsed/>
    <w:rsid w:val="000E6335"/>
    <w:rPr>
      <w:color w:val="800080" w:themeColor="followedHyperlink"/>
      <w:u w:val="single"/>
    </w:rPr>
  </w:style>
  <w:style w:type="character" w:customStyle="1" w:styleId="a-size-extra-large4">
    <w:name w:val="a-size-extra-large4"/>
    <w:basedOn w:val="a0"/>
    <w:rsid w:val="002D5722"/>
    <w:rPr>
      <w:rFonts w:ascii="Arial" w:hAnsi="Arial" w:cs="Arial" w:hint="default"/>
    </w:rPr>
  </w:style>
  <w:style w:type="character" w:styleId="a7">
    <w:name w:val="Strong"/>
    <w:basedOn w:val="a0"/>
    <w:uiPriority w:val="22"/>
    <w:qFormat/>
    <w:rsid w:val="00B2370B"/>
    <w:rPr>
      <w:b/>
      <w:bCs/>
    </w:rPr>
  </w:style>
  <w:style w:type="paragraph" w:styleId="a8">
    <w:name w:val="footnote text"/>
    <w:basedOn w:val="a"/>
    <w:link w:val="a9"/>
    <w:uiPriority w:val="99"/>
    <w:unhideWhenUsed/>
    <w:rsid w:val="0010264C"/>
    <w:pPr>
      <w:bidi w:val="0"/>
      <w:spacing w:after="0" w:line="240" w:lineRule="auto"/>
    </w:pPr>
    <w:rPr>
      <w:rFonts w:ascii="Times New Roman" w:eastAsia="Times New Roman" w:hAnsi="Times New Roman" w:cs="Times New Roman"/>
      <w:sz w:val="20"/>
      <w:szCs w:val="20"/>
    </w:rPr>
  </w:style>
  <w:style w:type="character" w:customStyle="1" w:styleId="a9">
    <w:name w:val="טקסט הערת שוליים תו"/>
    <w:basedOn w:val="a0"/>
    <w:link w:val="a8"/>
    <w:uiPriority w:val="99"/>
    <w:rsid w:val="0010264C"/>
    <w:rPr>
      <w:rFonts w:ascii="Times New Roman" w:eastAsia="Times New Roman" w:hAnsi="Times New Roman" w:cs="Times New Roman"/>
      <w:sz w:val="20"/>
      <w:szCs w:val="20"/>
    </w:rPr>
  </w:style>
  <w:style w:type="character" w:styleId="aa">
    <w:name w:val="footnote reference"/>
    <w:uiPriority w:val="99"/>
    <w:semiHidden/>
    <w:unhideWhenUsed/>
    <w:rsid w:val="001026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1E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331E7"/>
    <w:rPr>
      <w:rFonts w:ascii="Tahoma" w:hAnsi="Tahoma" w:cs="Tahoma"/>
      <w:sz w:val="16"/>
      <w:szCs w:val="16"/>
    </w:rPr>
  </w:style>
  <w:style w:type="paragraph" w:styleId="a5">
    <w:name w:val="List Paragraph"/>
    <w:basedOn w:val="a"/>
    <w:uiPriority w:val="34"/>
    <w:qFormat/>
    <w:rsid w:val="00C452E0"/>
    <w:pPr>
      <w:ind w:left="720"/>
      <w:contextualSpacing/>
    </w:pPr>
  </w:style>
  <w:style w:type="paragraph" w:customStyle="1" w:styleId="P00">
    <w:name w:val="P00"/>
    <w:rsid w:val="00C452E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C452E0"/>
    <w:rPr>
      <w:rFonts w:ascii="Times New Roman" w:hAnsi="Times New Roman" w:cs="Times New Roman"/>
      <w:sz w:val="26"/>
      <w:szCs w:val="26"/>
    </w:rPr>
  </w:style>
  <w:style w:type="character" w:customStyle="1" w:styleId="text14">
    <w:name w:val="text14"/>
    <w:basedOn w:val="a0"/>
    <w:rsid w:val="00AA153C"/>
  </w:style>
  <w:style w:type="character" w:customStyle="1" w:styleId="highlight1">
    <w:name w:val="highlight1"/>
    <w:basedOn w:val="a0"/>
    <w:rsid w:val="00AA153C"/>
    <w:rPr>
      <w:shd w:val="clear" w:color="auto" w:fill="FFFF99"/>
    </w:rPr>
  </w:style>
  <w:style w:type="paragraph" w:styleId="a6">
    <w:name w:val="Revision"/>
    <w:hidden/>
    <w:uiPriority w:val="99"/>
    <w:semiHidden/>
    <w:rsid w:val="00631DE7"/>
    <w:pPr>
      <w:spacing w:after="0" w:line="240" w:lineRule="auto"/>
    </w:pPr>
  </w:style>
  <w:style w:type="character" w:styleId="Hyperlink">
    <w:name w:val="Hyperlink"/>
    <w:basedOn w:val="a0"/>
    <w:uiPriority w:val="99"/>
    <w:unhideWhenUsed/>
    <w:rsid w:val="000E6335"/>
    <w:rPr>
      <w:color w:val="0000FF" w:themeColor="hyperlink"/>
      <w:u w:val="single"/>
    </w:rPr>
  </w:style>
  <w:style w:type="character" w:styleId="FollowedHyperlink">
    <w:name w:val="FollowedHyperlink"/>
    <w:basedOn w:val="a0"/>
    <w:uiPriority w:val="99"/>
    <w:semiHidden/>
    <w:unhideWhenUsed/>
    <w:rsid w:val="000E6335"/>
    <w:rPr>
      <w:color w:val="800080" w:themeColor="followedHyperlink"/>
      <w:u w:val="single"/>
    </w:rPr>
  </w:style>
  <w:style w:type="character" w:customStyle="1" w:styleId="a-size-extra-large4">
    <w:name w:val="a-size-extra-large4"/>
    <w:basedOn w:val="a0"/>
    <w:rsid w:val="002D5722"/>
    <w:rPr>
      <w:rFonts w:ascii="Arial" w:hAnsi="Arial" w:cs="Arial" w:hint="default"/>
    </w:rPr>
  </w:style>
  <w:style w:type="character" w:styleId="a7">
    <w:name w:val="Strong"/>
    <w:basedOn w:val="a0"/>
    <w:uiPriority w:val="22"/>
    <w:qFormat/>
    <w:rsid w:val="00B2370B"/>
    <w:rPr>
      <w:b/>
      <w:bCs/>
    </w:rPr>
  </w:style>
  <w:style w:type="paragraph" w:styleId="a8">
    <w:name w:val="footnote text"/>
    <w:basedOn w:val="a"/>
    <w:link w:val="a9"/>
    <w:uiPriority w:val="99"/>
    <w:unhideWhenUsed/>
    <w:rsid w:val="0010264C"/>
    <w:pPr>
      <w:bidi w:val="0"/>
      <w:spacing w:after="0" w:line="240" w:lineRule="auto"/>
    </w:pPr>
    <w:rPr>
      <w:rFonts w:ascii="Times New Roman" w:eastAsia="Times New Roman" w:hAnsi="Times New Roman" w:cs="Times New Roman"/>
      <w:sz w:val="20"/>
      <w:szCs w:val="20"/>
    </w:rPr>
  </w:style>
  <w:style w:type="character" w:customStyle="1" w:styleId="a9">
    <w:name w:val="טקסט הערת שוליים תו"/>
    <w:basedOn w:val="a0"/>
    <w:link w:val="a8"/>
    <w:uiPriority w:val="99"/>
    <w:rsid w:val="0010264C"/>
    <w:rPr>
      <w:rFonts w:ascii="Times New Roman" w:eastAsia="Times New Roman" w:hAnsi="Times New Roman" w:cs="Times New Roman"/>
      <w:sz w:val="20"/>
      <w:szCs w:val="20"/>
    </w:rPr>
  </w:style>
  <w:style w:type="character" w:styleId="aa">
    <w:name w:val="footnote reference"/>
    <w:uiPriority w:val="99"/>
    <w:semiHidden/>
    <w:unhideWhenUsed/>
    <w:rsid w:val="00102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5635">
      <w:bodyDiv w:val="1"/>
      <w:marLeft w:val="0"/>
      <w:marRight w:val="0"/>
      <w:marTop w:val="0"/>
      <w:marBottom w:val="0"/>
      <w:divBdr>
        <w:top w:val="none" w:sz="0" w:space="0" w:color="auto"/>
        <w:left w:val="none" w:sz="0" w:space="0" w:color="auto"/>
        <w:bottom w:val="none" w:sz="0" w:space="0" w:color="auto"/>
        <w:right w:val="none" w:sz="0" w:space="0" w:color="auto"/>
      </w:divBdr>
      <w:divsChild>
        <w:div w:id="872427120">
          <w:marLeft w:val="0"/>
          <w:marRight w:val="0"/>
          <w:marTop w:val="0"/>
          <w:marBottom w:val="0"/>
          <w:divBdr>
            <w:top w:val="none" w:sz="0" w:space="0" w:color="auto"/>
            <w:left w:val="none" w:sz="0" w:space="0" w:color="auto"/>
            <w:bottom w:val="none" w:sz="0" w:space="0" w:color="auto"/>
            <w:right w:val="none" w:sz="0" w:space="0" w:color="auto"/>
          </w:divBdr>
          <w:divsChild>
            <w:div w:id="1411074758">
              <w:marLeft w:val="0"/>
              <w:marRight w:val="0"/>
              <w:marTop w:val="0"/>
              <w:marBottom w:val="0"/>
              <w:divBdr>
                <w:top w:val="none" w:sz="0" w:space="0" w:color="auto"/>
                <w:left w:val="none" w:sz="0" w:space="0" w:color="auto"/>
                <w:bottom w:val="none" w:sz="0" w:space="0" w:color="auto"/>
                <w:right w:val="none" w:sz="0" w:space="0" w:color="auto"/>
              </w:divBdr>
              <w:divsChild>
                <w:div w:id="428163459">
                  <w:marLeft w:val="0"/>
                  <w:marRight w:val="0"/>
                  <w:marTop w:val="0"/>
                  <w:marBottom w:val="0"/>
                  <w:divBdr>
                    <w:top w:val="none" w:sz="0" w:space="0" w:color="auto"/>
                    <w:left w:val="none" w:sz="0" w:space="0" w:color="auto"/>
                    <w:bottom w:val="none" w:sz="0" w:space="0" w:color="auto"/>
                    <w:right w:val="none" w:sz="0" w:space="0" w:color="auto"/>
                  </w:divBdr>
                  <w:divsChild>
                    <w:div w:id="320087060">
                      <w:marLeft w:val="0"/>
                      <w:marRight w:val="0"/>
                      <w:marTop w:val="0"/>
                      <w:marBottom w:val="0"/>
                      <w:divBdr>
                        <w:top w:val="none" w:sz="0" w:space="0" w:color="auto"/>
                        <w:left w:val="none" w:sz="0" w:space="0" w:color="auto"/>
                        <w:bottom w:val="none" w:sz="0" w:space="0" w:color="auto"/>
                        <w:right w:val="none" w:sz="0" w:space="0" w:color="auto"/>
                      </w:divBdr>
                      <w:divsChild>
                        <w:div w:id="1016158388">
                          <w:marLeft w:val="0"/>
                          <w:marRight w:val="0"/>
                          <w:marTop w:val="0"/>
                          <w:marBottom w:val="0"/>
                          <w:divBdr>
                            <w:top w:val="none" w:sz="0" w:space="0" w:color="auto"/>
                            <w:left w:val="none" w:sz="0" w:space="0" w:color="auto"/>
                            <w:bottom w:val="none" w:sz="0" w:space="0" w:color="auto"/>
                            <w:right w:val="none" w:sz="0" w:space="0" w:color="auto"/>
                          </w:divBdr>
                          <w:divsChild>
                            <w:div w:id="298995098">
                              <w:marLeft w:val="0"/>
                              <w:marRight w:val="0"/>
                              <w:marTop w:val="0"/>
                              <w:marBottom w:val="300"/>
                              <w:divBdr>
                                <w:top w:val="none" w:sz="0" w:space="0" w:color="auto"/>
                                <w:left w:val="none" w:sz="0" w:space="0" w:color="auto"/>
                                <w:bottom w:val="none" w:sz="0" w:space="0" w:color="auto"/>
                                <w:right w:val="none" w:sz="0" w:space="0" w:color="auto"/>
                              </w:divBdr>
                              <w:divsChild>
                                <w:div w:id="1276139323">
                                  <w:marLeft w:val="0"/>
                                  <w:marRight w:val="0"/>
                                  <w:marTop w:val="0"/>
                                  <w:marBottom w:val="225"/>
                                  <w:divBdr>
                                    <w:top w:val="single" w:sz="6" w:space="15" w:color="E1E1E1"/>
                                    <w:left w:val="single" w:sz="6" w:space="15" w:color="E1E1E1"/>
                                    <w:bottom w:val="single" w:sz="6" w:space="15" w:color="979797"/>
                                    <w:right w:val="single" w:sz="6" w:space="15" w:color="E1E1E1"/>
                                  </w:divBdr>
                                </w:div>
                              </w:divsChild>
                            </w:div>
                          </w:divsChild>
                        </w:div>
                      </w:divsChild>
                    </w:div>
                  </w:divsChild>
                </w:div>
              </w:divsChild>
            </w:div>
          </w:divsChild>
        </w:div>
      </w:divsChild>
    </w:div>
    <w:div w:id="179393891">
      <w:bodyDiv w:val="1"/>
      <w:marLeft w:val="0"/>
      <w:marRight w:val="0"/>
      <w:marTop w:val="0"/>
      <w:marBottom w:val="0"/>
      <w:divBdr>
        <w:top w:val="none" w:sz="0" w:space="0" w:color="auto"/>
        <w:left w:val="none" w:sz="0" w:space="0" w:color="auto"/>
        <w:bottom w:val="none" w:sz="0" w:space="0" w:color="auto"/>
        <w:right w:val="none" w:sz="0" w:space="0" w:color="auto"/>
      </w:divBdr>
      <w:divsChild>
        <w:div w:id="1920556836">
          <w:marLeft w:val="0"/>
          <w:marRight w:val="0"/>
          <w:marTop w:val="105"/>
          <w:marBottom w:val="105"/>
          <w:divBdr>
            <w:top w:val="none" w:sz="0" w:space="0" w:color="auto"/>
            <w:left w:val="none" w:sz="0" w:space="0" w:color="auto"/>
            <w:bottom w:val="none" w:sz="0" w:space="0" w:color="auto"/>
            <w:right w:val="none" w:sz="0" w:space="0" w:color="auto"/>
          </w:divBdr>
          <w:divsChild>
            <w:div w:id="694697030">
              <w:marLeft w:val="0"/>
              <w:marRight w:val="0"/>
              <w:marTop w:val="105"/>
              <w:marBottom w:val="105"/>
              <w:divBdr>
                <w:top w:val="none" w:sz="0" w:space="0" w:color="auto"/>
                <w:left w:val="none" w:sz="0" w:space="0" w:color="auto"/>
                <w:bottom w:val="none" w:sz="0" w:space="0" w:color="auto"/>
                <w:right w:val="none" w:sz="0" w:space="0" w:color="auto"/>
              </w:divBdr>
              <w:divsChild>
                <w:div w:id="1752386489">
                  <w:marLeft w:val="0"/>
                  <w:marRight w:val="0"/>
                  <w:marTop w:val="105"/>
                  <w:marBottom w:val="105"/>
                  <w:divBdr>
                    <w:top w:val="none" w:sz="0" w:space="0" w:color="auto"/>
                    <w:left w:val="none" w:sz="0" w:space="0" w:color="auto"/>
                    <w:bottom w:val="none" w:sz="0" w:space="0" w:color="auto"/>
                    <w:right w:val="none" w:sz="0" w:space="0" w:color="auto"/>
                  </w:divBdr>
                  <w:divsChild>
                    <w:div w:id="1635597596">
                      <w:marLeft w:val="0"/>
                      <w:marRight w:val="0"/>
                      <w:marTop w:val="105"/>
                      <w:marBottom w:val="105"/>
                      <w:divBdr>
                        <w:top w:val="none" w:sz="0" w:space="0" w:color="auto"/>
                        <w:left w:val="none" w:sz="0" w:space="0" w:color="auto"/>
                        <w:bottom w:val="none" w:sz="0" w:space="0" w:color="auto"/>
                        <w:right w:val="none" w:sz="0" w:space="0" w:color="auto"/>
                      </w:divBdr>
                      <w:divsChild>
                        <w:div w:id="549460703">
                          <w:marLeft w:val="0"/>
                          <w:marRight w:val="0"/>
                          <w:marTop w:val="105"/>
                          <w:marBottom w:val="105"/>
                          <w:divBdr>
                            <w:top w:val="none" w:sz="0" w:space="0" w:color="auto"/>
                            <w:left w:val="none" w:sz="0" w:space="0" w:color="auto"/>
                            <w:bottom w:val="none" w:sz="0" w:space="0" w:color="auto"/>
                            <w:right w:val="none" w:sz="0" w:space="0" w:color="auto"/>
                          </w:divBdr>
                          <w:divsChild>
                            <w:div w:id="391540704">
                              <w:marLeft w:val="0"/>
                              <w:marRight w:val="0"/>
                              <w:marTop w:val="105"/>
                              <w:marBottom w:val="105"/>
                              <w:divBdr>
                                <w:top w:val="none" w:sz="0" w:space="0" w:color="auto"/>
                                <w:left w:val="none" w:sz="0" w:space="0" w:color="auto"/>
                                <w:bottom w:val="none" w:sz="0" w:space="0" w:color="auto"/>
                                <w:right w:val="none" w:sz="0" w:space="0" w:color="auto"/>
                              </w:divBdr>
                              <w:divsChild>
                                <w:div w:id="167726319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539443">
      <w:bodyDiv w:val="1"/>
      <w:marLeft w:val="0"/>
      <w:marRight w:val="0"/>
      <w:marTop w:val="0"/>
      <w:marBottom w:val="0"/>
      <w:divBdr>
        <w:top w:val="none" w:sz="0" w:space="0" w:color="auto"/>
        <w:left w:val="none" w:sz="0" w:space="0" w:color="auto"/>
        <w:bottom w:val="none" w:sz="0" w:space="0" w:color="auto"/>
        <w:right w:val="none" w:sz="0" w:space="0" w:color="auto"/>
      </w:divBdr>
      <w:divsChild>
        <w:div w:id="1890457493">
          <w:marLeft w:val="0"/>
          <w:marRight w:val="0"/>
          <w:marTop w:val="0"/>
          <w:marBottom w:val="0"/>
          <w:divBdr>
            <w:top w:val="none" w:sz="0" w:space="0" w:color="auto"/>
            <w:left w:val="none" w:sz="0" w:space="0" w:color="auto"/>
            <w:bottom w:val="none" w:sz="0" w:space="0" w:color="auto"/>
            <w:right w:val="none" w:sz="0" w:space="0" w:color="auto"/>
          </w:divBdr>
          <w:divsChild>
            <w:div w:id="745538019">
              <w:marLeft w:val="0"/>
              <w:marRight w:val="105"/>
              <w:marTop w:val="0"/>
              <w:marBottom w:val="0"/>
              <w:divBdr>
                <w:top w:val="none" w:sz="0" w:space="0" w:color="auto"/>
                <w:left w:val="none" w:sz="0" w:space="0" w:color="auto"/>
                <w:bottom w:val="none" w:sz="0" w:space="0" w:color="auto"/>
                <w:right w:val="none" w:sz="0" w:space="0" w:color="auto"/>
              </w:divBdr>
              <w:divsChild>
                <w:div w:id="1874229384">
                  <w:marLeft w:val="0"/>
                  <w:marRight w:val="0"/>
                  <w:marTop w:val="0"/>
                  <w:marBottom w:val="0"/>
                  <w:divBdr>
                    <w:top w:val="none" w:sz="0" w:space="0" w:color="auto"/>
                    <w:left w:val="none" w:sz="0" w:space="0" w:color="auto"/>
                    <w:bottom w:val="none" w:sz="0" w:space="0" w:color="auto"/>
                    <w:right w:val="none" w:sz="0" w:space="0" w:color="auto"/>
                  </w:divBdr>
                  <w:divsChild>
                    <w:div w:id="1343164402">
                      <w:marLeft w:val="0"/>
                      <w:marRight w:val="0"/>
                      <w:marTop w:val="0"/>
                      <w:marBottom w:val="0"/>
                      <w:divBdr>
                        <w:top w:val="none" w:sz="0" w:space="0" w:color="auto"/>
                        <w:left w:val="none" w:sz="0" w:space="0" w:color="auto"/>
                        <w:bottom w:val="none" w:sz="0" w:space="0" w:color="auto"/>
                        <w:right w:val="none" w:sz="0" w:space="0" w:color="auto"/>
                      </w:divBdr>
                      <w:divsChild>
                        <w:div w:id="1852210820">
                          <w:marLeft w:val="0"/>
                          <w:marRight w:val="0"/>
                          <w:marTop w:val="0"/>
                          <w:marBottom w:val="0"/>
                          <w:divBdr>
                            <w:top w:val="none" w:sz="0" w:space="0" w:color="auto"/>
                            <w:left w:val="none" w:sz="0" w:space="0" w:color="auto"/>
                            <w:bottom w:val="none" w:sz="0" w:space="0" w:color="auto"/>
                            <w:right w:val="none" w:sz="0" w:space="0" w:color="auto"/>
                          </w:divBdr>
                        </w:div>
                        <w:div w:id="825170229">
                          <w:marLeft w:val="0"/>
                          <w:marRight w:val="0"/>
                          <w:marTop w:val="0"/>
                          <w:marBottom w:val="0"/>
                          <w:divBdr>
                            <w:top w:val="none" w:sz="0" w:space="0" w:color="auto"/>
                            <w:left w:val="none" w:sz="0" w:space="0" w:color="auto"/>
                            <w:bottom w:val="none" w:sz="0" w:space="0" w:color="auto"/>
                            <w:right w:val="none" w:sz="0" w:space="0" w:color="auto"/>
                          </w:divBdr>
                        </w:div>
                        <w:div w:id="504441640">
                          <w:marLeft w:val="0"/>
                          <w:marRight w:val="0"/>
                          <w:marTop w:val="0"/>
                          <w:marBottom w:val="0"/>
                          <w:divBdr>
                            <w:top w:val="none" w:sz="0" w:space="0" w:color="auto"/>
                            <w:left w:val="none" w:sz="0" w:space="0" w:color="auto"/>
                            <w:bottom w:val="none" w:sz="0" w:space="0" w:color="auto"/>
                            <w:right w:val="none" w:sz="0" w:space="0" w:color="auto"/>
                          </w:divBdr>
                        </w:div>
                        <w:div w:id="622032089">
                          <w:marLeft w:val="0"/>
                          <w:marRight w:val="0"/>
                          <w:marTop w:val="0"/>
                          <w:marBottom w:val="0"/>
                          <w:divBdr>
                            <w:top w:val="none" w:sz="0" w:space="0" w:color="auto"/>
                            <w:left w:val="none" w:sz="0" w:space="0" w:color="auto"/>
                            <w:bottom w:val="none" w:sz="0" w:space="0" w:color="auto"/>
                            <w:right w:val="none" w:sz="0" w:space="0" w:color="auto"/>
                          </w:divBdr>
                        </w:div>
                        <w:div w:id="1552813824">
                          <w:marLeft w:val="0"/>
                          <w:marRight w:val="0"/>
                          <w:marTop w:val="0"/>
                          <w:marBottom w:val="0"/>
                          <w:divBdr>
                            <w:top w:val="none" w:sz="0" w:space="0" w:color="auto"/>
                            <w:left w:val="none" w:sz="0" w:space="0" w:color="auto"/>
                            <w:bottom w:val="none" w:sz="0" w:space="0" w:color="auto"/>
                            <w:right w:val="none" w:sz="0" w:space="0" w:color="auto"/>
                          </w:divBdr>
                        </w:div>
                        <w:div w:id="1871994697">
                          <w:marLeft w:val="0"/>
                          <w:marRight w:val="0"/>
                          <w:marTop w:val="0"/>
                          <w:marBottom w:val="0"/>
                          <w:divBdr>
                            <w:top w:val="none" w:sz="0" w:space="0" w:color="auto"/>
                            <w:left w:val="none" w:sz="0" w:space="0" w:color="auto"/>
                            <w:bottom w:val="none" w:sz="0" w:space="0" w:color="auto"/>
                            <w:right w:val="none" w:sz="0" w:space="0" w:color="auto"/>
                          </w:divBdr>
                        </w:div>
                        <w:div w:id="689646006">
                          <w:marLeft w:val="0"/>
                          <w:marRight w:val="0"/>
                          <w:marTop w:val="0"/>
                          <w:marBottom w:val="0"/>
                          <w:divBdr>
                            <w:top w:val="none" w:sz="0" w:space="0" w:color="auto"/>
                            <w:left w:val="none" w:sz="0" w:space="0" w:color="auto"/>
                            <w:bottom w:val="none" w:sz="0" w:space="0" w:color="auto"/>
                            <w:right w:val="none" w:sz="0" w:space="0" w:color="auto"/>
                          </w:divBdr>
                        </w:div>
                        <w:div w:id="1070151845">
                          <w:marLeft w:val="0"/>
                          <w:marRight w:val="0"/>
                          <w:marTop w:val="0"/>
                          <w:marBottom w:val="0"/>
                          <w:divBdr>
                            <w:top w:val="none" w:sz="0" w:space="0" w:color="auto"/>
                            <w:left w:val="none" w:sz="0" w:space="0" w:color="auto"/>
                            <w:bottom w:val="none" w:sz="0" w:space="0" w:color="auto"/>
                            <w:right w:val="none" w:sz="0" w:space="0" w:color="auto"/>
                          </w:divBdr>
                        </w:div>
                        <w:div w:id="528689066">
                          <w:marLeft w:val="0"/>
                          <w:marRight w:val="0"/>
                          <w:marTop w:val="0"/>
                          <w:marBottom w:val="0"/>
                          <w:divBdr>
                            <w:top w:val="none" w:sz="0" w:space="0" w:color="auto"/>
                            <w:left w:val="none" w:sz="0" w:space="0" w:color="auto"/>
                            <w:bottom w:val="none" w:sz="0" w:space="0" w:color="auto"/>
                            <w:right w:val="none" w:sz="0" w:space="0" w:color="auto"/>
                          </w:divBdr>
                        </w:div>
                        <w:div w:id="1052467219">
                          <w:marLeft w:val="0"/>
                          <w:marRight w:val="0"/>
                          <w:marTop w:val="0"/>
                          <w:marBottom w:val="0"/>
                          <w:divBdr>
                            <w:top w:val="none" w:sz="0" w:space="0" w:color="auto"/>
                            <w:left w:val="none" w:sz="0" w:space="0" w:color="auto"/>
                            <w:bottom w:val="none" w:sz="0" w:space="0" w:color="auto"/>
                            <w:right w:val="none" w:sz="0" w:space="0" w:color="auto"/>
                          </w:divBdr>
                        </w:div>
                        <w:div w:id="1356349792">
                          <w:marLeft w:val="0"/>
                          <w:marRight w:val="0"/>
                          <w:marTop w:val="0"/>
                          <w:marBottom w:val="0"/>
                          <w:divBdr>
                            <w:top w:val="none" w:sz="0" w:space="0" w:color="auto"/>
                            <w:left w:val="none" w:sz="0" w:space="0" w:color="auto"/>
                            <w:bottom w:val="none" w:sz="0" w:space="0" w:color="auto"/>
                            <w:right w:val="none" w:sz="0" w:space="0" w:color="auto"/>
                          </w:divBdr>
                        </w:div>
                        <w:div w:id="607547250">
                          <w:marLeft w:val="0"/>
                          <w:marRight w:val="0"/>
                          <w:marTop w:val="0"/>
                          <w:marBottom w:val="0"/>
                          <w:divBdr>
                            <w:top w:val="none" w:sz="0" w:space="0" w:color="auto"/>
                            <w:left w:val="none" w:sz="0" w:space="0" w:color="auto"/>
                            <w:bottom w:val="none" w:sz="0" w:space="0" w:color="auto"/>
                            <w:right w:val="none" w:sz="0" w:space="0" w:color="auto"/>
                          </w:divBdr>
                        </w:div>
                        <w:div w:id="114371370">
                          <w:marLeft w:val="0"/>
                          <w:marRight w:val="0"/>
                          <w:marTop w:val="0"/>
                          <w:marBottom w:val="0"/>
                          <w:divBdr>
                            <w:top w:val="none" w:sz="0" w:space="0" w:color="auto"/>
                            <w:left w:val="none" w:sz="0" w:space="0" w:color="auto"/>
                            <w:bottom w:val="none" w:sz="0" w:space="0" w:color="auto"/>
                            <w:right w:val="none" w:sz="0" w:space="0" w:color="auto"/>
                          </w:divBdr>
                        </w:div>
                        <w:div w:id="2063290212">
                          <w:marLeft w:val="0"/>
                          <w:marRight w:val="0"/>
                          <w:marTop w:val="0"/>
                          <w:marBottom w:val="0"/>
                          <w:divBdr>
                            <w:top w:val="none" w:sz="0" w:space="0" w:color="auto"/>
                            <w:left w:val="none" w:sz="0" w:space="0" w:color="auto"/>
                            <w:bottom w:val="none" w:sz="0" w:space="0" w:color="auto"/>
                            <w:right w:val="none" w:sz="0" w:space="0" w:color="auto"/>
                          </w:divBdr>
                        </w:div>
                        <w:div w:id="1188712715">
                          <w:marLeft w:val="0"/>
                          <w:marRight w:val="0"/>
                          <w:marTop w:val="0"/>
                          <w:marBottom w:val="0"/>
                          <w:divBdr>
                            <w:top w:val="none" w:sz="0" w:space="0" w:color="auto"/>
                            <w:left w:val="none" w:sz="0" w:space="0" w:color="auto"/>
                            <w:bottom w:val="none" w:sz="0" w:space="0" w:color="auto"/>
                            <w:right w:val="none" w:sz="0" w:space="0" w:color="auto"/>
                          </w:divBdr>
                        </w:div>
                        <w:div w:id="1024135524">
                          <w:marLeft w:val="0"/>
                          <w:marRight w:val="0"/>
                          <w:marTop w:val="0"/>
                          <w:marBottom w:val="0"/>
                          <w:divBdr>
                            <w:top w:val="none" w:sz="0" w:space="0" w:color="auto"/>
                            <w:left w:val="none" w:sz="0" w:space="0" w:color="auto"/>
                            <w:bottom w:val="none" w:sz="0" w:space="0" w:color="auto"/>
                            <w:right w:val="none" w:sz="0" w:space="0" w:color="auto"/>
                          </w:divBdr>
                        </w:div>
                        <w:div w:id="1145050873">
                          <w:marLeft w:val="0"/>
                          <w:marRight w:val="0"/>
                          <w:marTop w:val="0"/>
                          <w:marBottom w:val="0"/>
                          <w:divBdr>
                            <w:top w:val="none" w:sz="0" w:space="0" w:color="auto"/>
                            <w:left w:val="none" w:sz="0" w:space="0" w:color="auto"/>
                            <w:bottom w:val="none" w:sz="0" w:space="0" w:color="auto"/>
                            <w:right w:val="none" w:sz="0" w:space="0" w:color="auto"/>
                          </w:divBdr>
                        </w:div>
                        <w:div w:id="1371689065">
                          <w:marLeft w:val="0"/>
                          <w:marRight w:val="0"/>
                          <w:marTop w:val="0"/>
                          <w:marBottom w:val="0"/>
                          <w:divBdr>
                            <w:top w:val="none" w:sz="0" w:space="0" w:color="auto"/>
                            <w:left w:val="none" w:sz="0" w:space="0" w:color="auto"/>
                            <w:bottom w:val="none" w:sz="0" w:space="0" w:color="auto"/>
                            <w:right w:val="none" w:sz="0" w:space="0" w:color="auto"/>
                          </w:divBdr>
                        </w:div>
                        <w:div w:id="1724912377">
                          <w:marLeft w:val="0"/>
                          <w:marRight w:val="0"/>
                          <w:marTop w:val="0"/>
                          <w:marBottom w:val="0"/>
                          <w:divBdr>
                            <w:top w:val="none" w:sz="0" w:space="0" w:color="auto"/>
                            <w:left w:val="none" w:sz="0" w:space="0" w:color="auto"/>
                            <w:bottom w:val="none" w:sz="0" w:space="0" w:color="auto"/>
                            <w:right w:val="none" w:sz="0" w:space="0" w:color="auto"/>
                          </w:divBdr>
                        </w:div>
                        <w:div w:id="1620599908">
                          <w:marLeft w:val="0"/>
                          <w:marRight w:val="0"/>
                          <w:marTop w:val="0"/>
                          <w:marBottom w:val="0"/>
                          <w:divBdr>
                            <w:top w:val="none" w:sz="0" w:space="0" w:color="auto"/>
                            <w:left w:val="none" w:sz="0" w:space="0" w:color="auto"/>
                            <w:bottom w:val="none" w:sz="0" w:space="0" w:color="auto"/>
                            <w:right w:val="none" w:sz="0" w:space="0" w:color="auto"/>
                          </w:divBdr>
                        </w:div>
                        <w:div w:id="1998801427">
                          <w:marLeft w:val="0"/>
                          <w:marRight w:val="0"/>
                          <w:marTop w:val="0"/>
                          <w:marBottom w:val="0"/>
                          <w:divBdr>
                            <w:top w:val="none" w:sz="0" w:space="0" w:color="auto"/>
                            <w:left w:val="none" w:sz="0" w:space="0" w:color="auto"/>
                            <w:bottom w:val="none" w:sz="0" w:space="0" w:color="auto"/>
                            <w:right w:val="none" w:sz="0" w:space="0" w:color="auto"/>
                          </w:divBdr>
                        </w:div>
                        <w:div w:id="1421760194">
                          <w:marLeft w:val="0"/>
                          <w:marRight w:val="0"/>
                          <w:marTop w:val="0"/>
                          <w:marBottom w:val="0"/>
                          <w:divBdr>
                            <w:top w:val="none" w:sz="0" w:space="0" w:color="auto"/>
                            <w:left w:val="none" w:sz="0" w:space="0" w:color="auto"/>
                            <w:bottom w:val="none" w:sz="0" w:space="0" w:color="auto"/>
                            <w:right w:val="none" w:sz="0" w:space="0" w:color="auto"/>
                          </w:divBdr>
                        </w:div>
                        <w:div w:id="434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yon1.court.gov.il/files/12/160/015/c03/12015160.c03.htm" TargetMode="External"/><Relationship Id="rId18" Type="http://schemas.openxmlformats.org/officeDocument/2006/relationships/hyperlink" Target="http://hazan.kibbutz.org.il/hafrata%20-2/niir_emda_1_bnosha_ashrai_-_3_12_15.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ri.org.il/he/wp-content/uploads/2012/07/hit1516meshivim2-4.pdf" TargetMode="External"/><Relationship Id="rId17" Type="http://schemas.openxmlformats.org/officeDocument/2006/relationships/hyperlink" Target="http://www.hafrata.vanleer.org.il/%D7%9E%D7%90%D7%92%D7%A8-%D7%A0%D7%AA%D7%95%D7%A0%D7%99%D7%9D-%D7%A4%D7%99%D7%A0%D7%A0%D7%A1%D7%99%D7%99%D7%9D-%D7%93%D7%99%D7%A8%D7%95%D7%92-%D7%95%D7%9E%D7%A1%D7%97%D7%A8-%D7%91%D7%A0%D7%AA%D7%95/" TargetMode="External"/><Relationship Id="rId2" Type="http://schemas.openxmlformats.org/officeDocument/2006/relationships/styles" Target="styles.xml"/><Relationship Id="rId16" Type="http://schemas.openxmlformats.org/officeDocument/2006/relationships/hyperlink" Target="http://www.pmo.gov.il/BranchesAndUnits/eco/Documents/ash20051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ri.org.il/he/wp-content/uploads/2012/07/hit1516meshiva1.pdf" TargetMode="External"/><Relationship Id="rId5" Type="http://schemas.openxmlformats.org/officeDocument/2006/relationships/webSettings" Target="webSettings.xml"/><Relationship Id="rId15" Type="http://schemas.openxmlformats.org/officeDocument/2006/relationships/hyperlink" Target="https://papers.ssrn.com/sol3/papers.cfm?abstract_id=2146659" TargetMode="External"/><Relationship Id="rId10" Type="http://schemas.openxmlformats.org/officeDocument/2006/relationships/hyperlink" Target="http://www.acri.org.il/he/wp-content/uploads/2012/02/hit1516.pdf" TargetMode="External"/><Relationship Id="rId19" Type="http://schemas.openxmlformats.org/officeDocument/2006/relationships/hyperlink" Target="https://www.google.co.il/" TargetMode="External"/><Relationship Id="rId4" Type="http://schemas.openxmlformats.org/officeDocument/2006/relationships/settings" Target="settings.xml"/><Relationship Id="rId9" Type="http://schemas.openxmlformats.org/officeDocument/2006/relationships/hyperlink" Target="http://www.boi.org.il/he/NewsAndPublications/LegislationAndRegulations/Documents/%D7%97%D7%95%D7%A7%20%D7%A0%D7%AA%D7%95%D7%A0%D7%99%20%D7%90%D7%A9%D7%A8%D7%90%D7%99,%20%D7%94%D7%AA%D7%A9%D7%A2%D7%95-2016.pdf" TargetMode="External"/><Relationship Id="rId14" Type="http://schemas.openxmlformats.org/officeDocument/2006/relationships/hyperlink" Target="http://hazan.kibbutz.org.il/hafrata%20-2/niir_emda_2_-_ashrai_arab_-_3_12_15_-_a.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6</Pages>
  <Words>2298</Words>
  <Characters>11494</Characters>
  <Application>Microsoft Office Word</Application>
  <DocSecurity>0</DocSecurity>
  <Lines>95</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2017-01-24T09:36:00Z</cp:lastPrinted>
  <dcterms:created xsi:type="dcterms:W3CDTF">2016-11-08T10:56:00Z</dcterms:created>
  <dcterms:modified xsi:type="dcterms:W3CDTF">2017-05-30T05:27:00Z</dcterms:modified>
</cp:coreProperties>
</file>