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87D8C" w14:textId="177B8EE6" w:rsidR="00B51498" w:rsidRPr="005F3228" w:rsidRDefault="00B51498" w:rsidP="005C3830">
      <w:pPr>
        <w:jc w:val="center"/>
        <w:rPr>
          <w:rFonts w:ascii="David" w:hAnsi="David" w:cs="David"/>
          <w:b/>
          <w:bCs/>
          <w:sz w:val="28"/>
          <w:szCs w:val="28"/>
          <w:rtl/>
        </w:rPr>
      </w:pPr>
      <w:proofErr w:type="spellStart"/>
      <w:r w:rsidRPr="005F3228">
        <w:rPr>
          <w:rFonts w:ascii="David" w:hAnsi="David" w:cs="David" w:hint="cs"/>
          <w:b/>
          <w:bCs/>
          <w:sz w:val="28"/>
          <w:szCs w:val="28"/>
          <w:rtl/>
        </w:rPr>
        <w:t>א.ש.י.ר</w:t>
      </w:r>
      <w:proofErr w:type="spellEnd"/>
      <w:r w:rsidRPr="005F3228">
        <w:rPr>
          <w:rFonts w:ascii="David" w:hAnsi="David" w:cs="David" w:hint="cs"/>
          <w:b/>
          <w:bCs/>
          <w:sz w:val="28"/>
          <w:szCs w:val="28"/>
          <w:rtl/>
        </w:rPr>
        <w:t>. חוגגת עשרים</w:t>
      </w:r>
      <w:r w:rsidRPr="005F3228">
        <w:rPr>
          <w:rFonts w:ascii="David" w:hAnsi="David" w:cs="David"/>
          <w:b/>
          <w:bCs/>
          <w:sz w:val="28"/>
          <w:szCs w:val="28"/>
          <w:rtl/>
        </w:rPr>
        <w:t>—</w:t>
      </w:r>
      <w:r w:rsidRPr="005F3228">
        <w:rPr>
          <w:rFonts w:ascii="David" w:hAnsi="David" w:cs="David" w:hint="cs"/>
          <w:b/>
          <w:bCs/>
          <w:sz w:val="28"/>
          <w:szCs w:val="28"/>
          <w:rtl/>
        </w:rPr>
        <w:t>מחקר אמפירי</w:t>
      </w:r>
    </w:p>
    <w:p w14:paraId="64B5505B" w14:textId="77777777" w:rsidR="006E4585" w:rsidRPr="005F3228" w:rsidRDefault="00FA762A" w:rsidP="00E126B3">
      <w:pPr>
        <w:jc w:val="center"/>
        <w:rPr>
          <w:rFonts w:ascii="David" w:hAnsi="David" w:cs="David"/>
          <w:b/>
          <w:bCs/>
          <w:sz w:val="28"/>
          <w:szCs w:val="28"/>
          <w:rtl/>
        </w:rPr>
        <w:sectPr w:rsidR="006E4585" w:rsidRPr="005F3228" w:rsidSect="00FA762A">
          <w:footerReference w:type="default" r:id="rId8"/>
          <w:footnotePr>
            <w:numRestart w:val="eachSect"/>
          </w:footnotePr>
          <w:type w:val="continuous"/>
          <w:pgSz w:w="11906" w:h="16838"/>
          <w:pgMar w:top="1440" w:right="1800" w:bottom="1440" w:left="1800" w:header="720" w:footer="720" w:gutter="0"/>
          <w:cols w:space="720"/>
          <w:bidi/>
          <w:rtlGutter/>
          <w:docGrid w:linePitch="360"/>
        </w:sectPr>
      </w:pPr>
      <w:r w:rsidRPr="005F3228">
        <w:rPr>
          <w:rFonts w:ascii="David" w:hAnsi="David" w:cs="David"/>
          <w:b/>
          <w:bCs/>
          <w:sz w:val="28"/>
          <w:szCs w:val="28"/>
          <w:rtl/>
        </w:rPr>
        <w:t>עופר טור-סינ</w:t>
      </w:r>
      <w:r w:rsidR="006E4585" w:rsidRPr="005F3228">
        <w:rPr>
          <w:rFonts w:ascii="David" w:hAnsi="David" w:cs="David" w:hint="eastAsia"/>
          <w:b/>
          <w:bCs/>
          <w:sz w:val="28"/>
          <w:szCs w:val="28"/>
          <w:rtl/>
        </w:rPr>
        <w:t>י</w:t>
      </w:r>
      <w:r w:rsidR="00E126B3" w:rsidRPr="005F3228">
        <w:rPr>
          <w:rStyle w:val="FootnoteReference"/>
          <w:rFonts w:ascii="David" w:hAnsi="David" w:cs="David"/>
          <w:b/>
          <w:bCs/>
          <w:sz w:val="28"/>
          <w:szCs w:val="28"/>
          <w:rtl/>
        </w:rPr>
        <w:footnoteReference w:customMarkFollows="1" w:id="1"/>
        <w:t>*</w:t>
      </w:r>
      <w:r w:rsidR="00E126B3" w:rsidRPr="005F3228">
        <w:rPr>
          <w:rFonts w:ascii="David" w:hAnsi="David" w:cs="David" w:hint="cs"/>
          <w:b/>
          <w:bCs/>
          <w:sz w:val="28"/>
          <w:szCs w:val="28"/>
          <w:rtl/>
        </w:rPr>
        <w:t xml:space="preserve"> </w:t>
      </w:r>
      <w:r w:rsidR="005601AF" w:rsidRPr="005F3228">
        <w:rPr>
          <w:rFonts w:ascii="David" w:hAnsi="David" w:cs="David" w:hint="eastAsia"/>
          <w:b/>
          <w:bCs/>
          <w:sz w:val="28"/>
          <w:szCs w:val="28"/>
          <w:rtl/>
        </w:rPr>
        <w:t>ומיכל</w:t>
      </w:r>
      <w:r w:rsidR="005601AF" w:rsidRPr="005F3228">
        <w:rPr>
          <w:rFonts w:ascii="David" w:hAnsi="David" w:cs="David"/>
          <w:b/>
          <w:bCs/>
          <w:sz w:val="28"/>
          <w:szCs w:val="28"/>
          <w:rtl/>
        </w:rPr>
        <w:t xml:space="preserve"> </w:t>
      </w:r>
      <w:r w:rsidR="005601AF" w:rsidRPr="005F3228">
        <w:rPr>
          <w:rFonts w:ascii="David" w:hAnsi="David" w:cs="David" w:hint="eastAsia"/>
          <w:b/>
          <w:bCs/>
          <w:sz w:val="28"/>
          <w:szCs w:val="28"/>
          <w:rtl/>
        </w:rPr>
        <w:t>שור</w:t>
      </w:r>
      <w:r w:rsidR="005601AF" w:rsidRPr="005F3228">
        <w:rPr>
          <w:rFonts w:ascii="David" w:hAnsi="David" w:cs="David"/>
          <w:b/>
          <w:bCs/>
          <w:sz w:val="28"/>
          <w:szCs w:val="28"/>
          <w:rtl/>
        </w:rPr>
        <w:t>-עופרי</w:t>
      </w:r>
      <w:r w:rsidR="00F215A5" w:rsidRPr="005F3228">
        <w:rPr>
          <w:rStyle w:val="FootnoteReference"/>
          <w:rFonts w:ascii="David" w:hAnsi="David" w:cs="David"/>
          <w:b/>
          <w:bCs/>
          <w:sz w:val="28"/>
          <w:szCs w:val="28"/>
          <w:rtl/>
        </w:rPr>
        <w:footnoteReference w:customMarkFollows="1" w:id="2"/>
        <w:t>**</w:t>
      </w:r>
    </w:p>
    <w:p w14:paraId="1AD88D80" w14:textId="77777777" w:rsidR="00FA762A" w:rsidRPr="005F3228" w:rsidRDefault="005601AF" w:rsidP="006E4585">
      <w:pPr>
        <w:jc w:val="center"/>
        <w:rPr>
          <w:rFonts w:ascii="David" w:hAnsi="David" w:cs="David"/>
          <w:b/>
          <w:bCs/>
          <w:sz w:val="28"/>
          <w:szCs w:val="28"/>
          <w:rtl/>
        </w:rPr>
      </w:pPr>
      <w:r w:rsidRPr="005F3228">
        <w:rPr>
          <w:rFonts w:ascii="David" w:hAnsi="David" w:cs="David" w:hint="cs"/>
          <w:b/>
          <w:bCs/>
          <w:sz w:val="28"/>
          <w:szCs w:val="28"/>
          <w:rtl/>
        </w:rPr>
        <w:t xml:space="preserve"> </w:t>
      </w:r>
    </w:p>
    <w:p w14:paraId="00B92432" w14:textId="77777777" w:rsidR="00896A32" w:rsidRPr="005F3228" w:rsidRDefault="00896A32" w:rsidP="00EA2DEF">
      <w:pPr>
        <w:spacing w:line="300" w:lineRule="exact"/>
        <w:jc w:val="both"/>
        <w:rPr>
          <w:rFonts w:ascii="David" w:hAnsi="David" w:cs="David"/>
          <w:sz w:val="24"/>
          <w:szCs w:val="24"/>
          <w:rtl/>
        </w:rPr>
      </w:pPr>
      <w:r w:rsidRPr="005F3228">
        <w:rPr>
          <w:rFonts w:ascii="David" w:hAnsi="David" w:cs="David"/>
          <w:sz w:val="24"/>
          <w:szCs w:val="24"/>
          <w:rtl/>
        </w:rPr>
        <w:t xml:space="preserve">בשנת 1998 ניתן פסק </w:t>
      </w:r>
      <w:r w:rsidR="00644293" w:rsidRPr="005F3228">
        <w:rPr>
          <w:rFonts w:ascii="David" w:hAnsi="David" w:cs="David" w:hint="cs"/>
          <w:sz w:val="24"/>
          <w:szCs w:val="24"/>
          <w:rtl/>
        </w:rPr>
        <w:t>דינו</w:t>
      </w:r>
      <w:r w:rsidRPr="005F3228">
        <w:rPr>
          <w:rFonts w:ascii="David" w:hAnsi="David" w:cs="David"/>
          <w:sz w:val="24"/>
          <w:szCs w:val="24"/>
          <w:rtl/>
        </w:rPr>
        <w:t xml:space="preserve"> של בית המשפט העליון בעניין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Pr="005F3228">
        <w:rPr>
          <w:rFonts w:ascii="David" w:hAnsi="David" w:cs="David"/>
          <w:sz w:val="24"/>
          <w:szCs w:val="24"/>
          <w:rtl/>
        </w:rPr>
        <w:t>, בו נקבע כי דיני הקניין הרוחני</w:t>
      </w:r>
      <w:r w:rsidR="008D339B" w:rsidRPr="005F3228">
        <w:rPr>
          <w:rFonts w:ascii="David" w:hAnsi="David" w:cs="David"/>
          <w:sz w:val="24"/>
          <w:szCs w:val="24"/>
          <w:rtl/>
        </w:rPr>
        <w:t xml:space="preserve"> אינם יוצרים</w:t>
      </w:r>
      <w:r w:rsidRPr="005F3228">
        <w:rPr>
          <w:rFonts w:ascii="David" w:hAnsi="David" w:cs="David"/>
          <w:sz w:val="24"/>
          <w:szCs w:val="24"/>
          <w:rtl/>
        </w:rPr>
        <w:t>,</w:t>
      </w:r>
      <w:r w:rsidR="008D339B" w:rsidRPr="005F3228">
        <w:rPr>
          <w:rFonts w:ascii="David" w:hAnsi="David" w:cs="David"/>
          <w:sz w:val="24"/>
          <w:szCs w:val="24"/>
          <w:rtl/>
        </w:rPr>
        <w:t xml:space="preserve"> באופן עקרוני, "הסדר שלילי",</w:t>
      </w:r>
      <w:r w:rsidRPr="005F3228">
        <w:rPr>
          <w:rFonts w:ascii="David" w:hAnsi="David" w:cs="David"/>
          <w:sz w:val="24"/>
          <w:szCs w:val="24"/>
          <w:rtl/>
        </w:rPr>
        <w:t xml:space="preserve"> </w:t>
      </w:r>
      <w:r w:rsidR="008D339B" w:rsidRPr="005F3228">
        <w:rPr>
          <w:rFonts w:ascii="David" w:hAnsi="David" w:cs="David"/>
          <w:sz w:val="24"/>
          <w:szCs w:val="24"/>
          <w:rtl/>
        </w:rPr>
        <w:t>כך שניתן</w:t>
      </w:r>
      <w:r w:rsidRPr="005F3228">
        <w:rPr>
          <w:rFonts w:ascii="David" w:hAnsi="David" w:cs="David"/>
          <w:sz w:val="24"/>
          <w:szCs w:val="24"/>
          <w:rtl/>
        </w:rPr>
        <w:t xml:space="preserve"> לעיתים </w:t>
      </w:r>
      <w:r w:rsidR="008D339B" w:rsidRPr="005F3228">
        <w:rPr>
          <w:rFonts w:ascii="David" w:hAnsi="David" w:cs="David"/>
          <w:sz w:val="24"/>
          <w:szCs w:val="24"/>
          <w:rtl/>
        </w:rPr>
        <w:t>לזכות בס</w:t>
      </w:r>
      <w:r w:rsidRPr="005F3228">
        <w:rPr>
          <w:rFonts w:ascii="David" w:hAnsi="David" w:cs="David"/>
          <w:sz w:val="24"/>
          <w:szCs w:val="24"/>
          <w:rtl/>
        </w:rPr>
        <w:t xml:space="preserve">עד מכוח דיני עשיית עושר ולא במשפט </w:t>
      </w:r>
      <w:r w:rsidR="000B744F" w:rsidRPr="005F3228">
        <w:rPr>
          <w:rFonts w:ascii="David" w:hAnsi="David" w:cs="David" w:hint="cs"/>
          <w:sz w:val="24"/>
          <w:szCs w:val="24"/>
          <w:rtl/>
        </w:rPr>
        <w:t xml:space="preserve">בגין חיקוי תוצר רוחני </w:t>
      </w:r>
      <w:r w:rsidRPr="005F3228">
        <w:rPr>
          <w:rFonts w:ascii="David" w:hAnsi="David" w:cs="David"/>
          <w:sz w:val="24"/>
          <w:szCs w:val="24"/>
          <w:rtl/>
        </w:rPr>
        <w:t>גם כאשר לא מתקיימת הפרה של זכות קניין רוחני ספציפית.</w:t>
      </w:r>
      <w:r w:rsidR="00FF4CA8" w:rsidRPr="005F3228">
        <w:rPr>
          <w:rFonts w:ascii="David" w:hAnsi="David" w:cs="David"/>
          <w:sz w:val="24"/>
          <w:szCs w:val="24"/>
          <w:rtl/>
        </w:rPr>
        <w:t xml:space="preserve"> פסק הדין </w:t>
      </w:r>
      <w:r w:rsidR="0008221A" w:rsidRPr="005F3228">
        <w:rPr>
          <w:rFonts w:ascii="David" w:hAnsi="David" w:cs="David" w:hint="cs"/>
          <w:sz w:val="24"/>
          <w:szCs w:val="24"/>
          <w:rtl/>
        </w:rPr>
        <w:t xml:space="preserve">תואר כפסק דין דרמטי, ועורר </w:t>
      </w:r>
      <w:r w:rsidR="00FF4CA8" w:rsidRPr="005F3228">
        <w:rPr>
          <w:rFonts w:ascii="David" w:hAnsi="David" w:cs="David"/>
          <w:sz w:val="24"/>
          <w:szCs w:val="24"/>
          <w:rtl/>
        </w:rPr>
        <w:t>ביקורת רבה</w:t>
      </w:r>
      <w:r w:rsidR="0008221A" w:rsidRPr="005F3228">
        <w:rPr>
          <w:rFonts w:ascii="David" w:hAnsi="David" w:cs="David" w:hint="cs"/>
          <w:sz w:val="24"/>
          <w:szCs w:val="24"/>
          <w:rtl/>
        </w:rPr>
        <w:t>. בפרט, הובע</w:t>
      </w:r>
      <w:r w:rsidR="00FF4CA8" w:rsidRPr="005F3228">
        <w:rPr>
          <w:rFonts w:ascii="David" w:hAnsi="David" w:cs="David"/>
          <w:sz w:val="24"/>
          <w:szCs w:val="24"/>
          <w:rtl/>
        </w:rPr>
        <w:t xml:space="preserve"> חשש כי ההלכה שנקבעה בו תוביל </w:t>
      </w:r>
      <w:r w:rsidR="00644293" w:rsidRPr="005F3228">
        <w:rPr>
          <w:rFonts w:ascii="David" w:hAnsi="David" w:cs="David" w:hint="cs"/>
          <w:sz w:val="24"/>
          <w:szCs w:val="24"/>
          <w:rtl/>
        </w:rPr>
        <w:t>להרחבה בלתי מוצדקת של זכויות</w:t>
      </w:r>
      <w:r w:rsidR="00FF4CA8" w:rsidRPr="005F3228">
        <w:rPr>
          <w:rFonts w:ascii="David" w:hAnsi="David" w:cs="David"/>
          <w:sz w:val="24"/>
          <w:szCs w:val="24"/>
          <w:rtl/>
        </w:rPr>
        <w:t xml:space="preserve"> הקניין הרוחני ותיצור אפקט מצנן בתחום החדשנות.</w:t>
      </w:r>
      <w:r w:rsidRPr="005F3228">
        <w:rPr>
          <w:rFonts w:ascii="David" w:hAnsi="David" w:cs="David"/>
          <w:sz w:val="24"/>
          <w:szCs w:val="24"/>
          <w:rtl/>
        </w:rPr>
        <w:t xml:space="preserve"> </w:t>
      </w:r>
      <w:r w:rsidR="006F4F59" w:rsidRPr="005F3228">
        <w:rPr>
          <w:rFonts w:ascii="David" w:hAnsi="David" w:cs="David"/>
          <w:sz w:val="24"/>
          <w:szCs w:val="24"/>
          <w:rtl/>
        </w:rPr>
        <w:t>מאז מתן פסק</w:t>
      </w:r>
      <w:r w:rsidR="0045173F" w:rsidRPr="005F3228">
        <w:rPr>
          <w:rFonts w:ascii="David" w:hAnsi="David" w:cs="David"/>
          <w:sz w:val="24"/>
          <w:szCs w:val="24"/>
          <w:rtl/>
        </w:rPr>
        <w:t xml:space="preserve"> </w:t>
      </w:r>
      <w:r w:rsidR="006F4F59" w:rsidRPr="005F3228">
        <w:rPr>
          <w:rFonts w:ascii="David" w:hAnsi="David" w:cs="David"/>
          <w:sz w:val="24"/>
          <w:szCs w:val="24"/>
          <w:rtl/>
        </w:rPr>
        <w:t xml:space="preserve">הדין נשמעו קריאות רבות לביטול ההלכה, </w:t>
      </w:r>
      <w:r w:rsidR="00770F30" w:rsidRPr="005F3228">
        <w:rPr>
          <w:rFonts w:ascii="David" w:hAnsi="David" w:cs="David"/>
          <w:sz w:val="24"/>
          <w:szCs w:val="24"/>
          <w:rtl/>
        </w:rPr>
        <w:t xml:space="preserve">לרבות </w:t>
      </w:r>
      <w:r w:rsidR="00566ED0" w:rsidRPr="005F3228">
        <w:rPr>
          <w:rFonts w:ascii="David" w:hAnsi="David" w:cs="David" w:hint="cs"/>
          <w:sz w:val="24"/>
          <w:szCs w:val="24"/>
          <w:rtl/>
        </w:rPr>
        <w:t>מצד</w:t>
      </w:r>
      <w:r w:rsidRPr="005F3228">
        <w:rPr>
          <w:rFonts w:ascii="David" w:hAnsi="David" w:cs="David"/>
          <w:sz w:val="24"/>
          <w:szCs w:val="24"/>
          <w:rtl/>
        </w:rPr>
        <w:t xml:space="preserve"> </w:t>
      </w:r>
      <w:r w:rsidR="00770F30" w:rsidRPr="005F3228">
        <w:rPr>
          <w:rFonts w:ascii="David" w:hAnsi="David" w:cs="David"/>
          <w:sz w:val="24"/>
          <w:szCs w:val="24"/>
          <w:rtl/>
        </w:rPr>
        <w:t>היועץ המשפטי לממ</w:t>
      </w:r>
      <w:r w:rsidRPr="005F3228">
        <w:rPr>
          <w:rFonts w:ascii="David" w:hAnsi="David" w:cs="David"/>
          <w:sz w:val="24"/>
          <w:szCs w:val="24"/>
          <w:rtl/>
        </w:rPr>
        <w:t>ש</w:t>
      </w:r>
      <w:r w:rsidR="00770F30" w:rsidRPr="005F3228">
        <w:rPr>
          <w:rFonts w:ascii="David" w:hAnsi="David" w:cs="David"/>
          <w:sz w:val="24"/>
          <w:szCs w:val="24"/>
          <w:rtl/>
        </w:rPr>
        <w:t xml:space="preserve">לה </w:t>
      </w:r>
      <w:r w:rsidR="00566ED0" w:rsidRPr="005F3228">
        <w:rPr>
          <w:rFonts w:ascii="David" w:hAnsi="David" w:cs="David" w:hint="cs"/>
          <w:sz w:val="24"/>
          <w:szCs w:val="24"/>
          <w:rtl/>
        </w:rPr>
        <w:t xml:space="preserve">בעמדה </w:t>
      </w:r>
      <w:r w:rsidR="00770F30" w:rsidRPr="005F3228">
        <w:rPr>
          <w:rFonts w:ascii="David" w:hAnsi="David" w:cs="David"/>
          <w:sz w:val="24"/>
          <w:szCs w:val="24"/>
          <w:rtl/>
        </w:rPr>
        <w:t>שהוגשה לאחרונה לבית המשפט העליון.</w:t>
      </w:r>
      <w:r w:rsidRPr="005F3228">
        <w:rPr>
          <w:rFonts w:ascii="David" w:hAnsi="David" w:cs="David"/>
          <w:sz w:val="24"/>
          <w:szCs w:val="24"/>
          <w:rtl/>
        </w:rPr>
        <w:t xml:space="preserve"> </w:t>
      </w:r>
    </w:p>
    <w:p w14:paraId="59AE4A95" w14:textId="77777777" w:rsidR="00BA7AFA" w:rsidRPr="005F3228" w:rsidRDefault="00896A32" w:rsidP="00B71C43">
      <w:pPr>
        <w:spacing w:line="300" w:lineRule="exact"/>
        <w:jc w:val="both"/>
        <w:rPr>
          <w:rFonts w:ascii="David" w:hAnsi="David" w:cs="David"/>
          <w:sz w:val="24"/>
          <w:szCs w:val="24"/>
          <w:rtl/>
        </w:rPr>
      </w:pPr>
      <w:r w:rsidRPr="005F3228">
        <w:rPr>
          <w:rFonts w:ascii="David" w:hAnsi="David" w:cs="David"/>
          <w:sz w:val="24"/>
          <w:szCs w:val="24"/>
          <w:rtl/>
        </w:rPr>
        <w:t>מחקר זה מב</w:t>
      </w:r>
      <w:r w:rsidR="00FA762A" w:rsidRPr="005F3228">
        <w:rPr>
          <w:rFonts w:ascii="David" w:hAnsi="David" w:cs="David"/>
          <w:sz w:val="24"/>
          <w:szCs w:val="24"/>
          <w:rtl/>
        </w:rPr>
        <w:t xml:space="preserve">קש להעריך </w:t>
      </w:r>
      <w:r w:rsidR="0008221A" w:rsidRPr="005F3228">
        <w:rPr>
          <w:rFonts w:ascii="David" w:hAnsi="David" w:cs="David" w:hint="cs"/>
          <w:sz w:val="24"/>
          <w:szCs w:val="24"/>
          <w:rtl/>
        </w:rPr>
        <w:t xml:space="preserve">באופן אמפירי </w:t>
      </w:r>
      <w:r w:rsidR="00FA762A" w:rsidRPr="005F3228">
        <w:rPr>
          <w:rFonts w:ascii="David" w:hAnsi="David" w:cs="David"/>
          <w:sz w:val="24"/>
          <w:szCs w:val="24"/>
          <w:rtl/>
        </w:rPr>
        <w:t>את השלכותיה של</w:t>
      </w:r>
      <w:r w:rsidR="00A37572" w:rsidRPr="005F3228">
        <w:rPr>
          <w:rFonts w:ascii="David" w:hAnsi="David" w:cs="David"/>
          <w:sz w:val="24"/>
          <w:szCs w:val="24"/>
          <w:rtl/>
        </w:rPr>
        <w:t xml:space="preserve"> הלכת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00FA762A" w:rsidRPr="005F3228">
        <w:rPr>
          <w:rFonts w:ascii="David" w:hAnsi="David" w:cs="David"/>
          <w:sz w:val="24"/>
          <w:szCs w:val="24"/>
          <w:rtl/>
        </w:rPr>
        <w:t xml:space="preserve">, באמצעות </w:t>
      </w:r>
      <w:r w:rsidR="00A37572" w:rsidRPr="005F3228">
        <w:rPr>
          <w:rFonts w:ascii="David" w:hAnsi="David" w:cs="David"/>
          <w:sz w:val="24"/>
          <w:szCs w:val="24"/>
          <w:rtl/>
        </w:rPr>
        <w:t xml:space="preserve">בחינה </w:t>
      </w:r>
      <w:r w:rsidR="00EE06CC" w:rsidRPr="005F3228">
        <w:rPr>
          <w:rFonts w:ascii="David" w:hAnsi="David" w:cs="David" w:hint="cs"/>
          <w:sz w:val="24"/>
          <w:szCs w:val="24"/>
          <w:rtl/>
        </w:rPr>
        <w:t>דו שלבית</w:t>
      </w:r>
      <w:r w:rsidR="0008221A" w:rsidRPr="005F3228">
        <w:rPr>
          <w:rFonts w:ascii="David" w:hAnsi="David" w:cs="David" w:hint="cs"/>
          <w:sz w:val="24"/>
          <w:szCs w:val="24"/>
          <w:rtl/>
        </w:rPr>
        <w:t>, כמותית ואיכותית</w:t>
      </w:r>
      <w:r w:rsidR="00EE06CC" w:rsidRPr="005F3228">
        <w:rPr>
          <w:rFonts w:ascii="David" w:hAnsi="David" w:cs="David" w:hint="cs"/>
          <w:sz w:val="24"/>
          <w:szCs w:val="24"/>
          <w:rtl/>
        </w:rPr>
        <w:t xml:space="preserve">. </w:t>
      </w:r>
      <w:r w:rsidR="00331ABB" w:rsidRPr="005F3228">
        <w:rPr>
          <w:rFonts w:ascii="David" w:hAnsi="David" w:cs="David" w:hint="cs"/>
          <w:sz w:val="24"/>
          <w:szCs w:val="24"/>
          <w:rtl/>
        </w:rPr>
        <w:t>בשלב הראשון נבחנו</w:t>
      </w:r>
      <w:r w:rsidR="00EE06CC" w:rsidRPr="005F3228">
        <w:rPr>
          <w:rFonts w:ascii="David" w:hAnsi="David" w:cs="David" w:hint="cs"/>
          <w:sz w:val="24"/>
          <w:szCs w:val="24"/>
          <w:rtl/>
        </w:rPr>
        <w:t xml:space="preserve"> </w:t>
      </w:r>
      <w:r w:rsidR="00566ED0" w:rsidRPr="005F3228">
        <w:rPr>
          <w:rFonts w:ascii="David" w:hAnsi="David" w:cs="David" w:hint="cs"/>
          <w:sz w:val="24"/>
          <w:szCs w:val="24"/>
          <w:rtl/>
        </w:rPr>
        <w:t xml:space="preserve">כלל </w:t>
      </w:r>
      <w:r w:rsidR="009C43BA" w:rsidRPr="005F3228">
        <w:rPr>
          <w:rFonts w:ascii="David" w:hAnsi="David" w:cs="David" w:hint="cs"/>
          <w:sz w:val="24"/>
          <w:szCs w:val="24"/>
          <w:rtl/>
        </w:rPr>
        <w:t>ההחלטות</w:t>
      </w:r>
      <w:r w:rsidR="00566ED0" w:rsidRPr="005F3228">
        <w:rPr>
          <w:rFonts w:ascii="David" w:hAnsi="David" w:cs="David" w:hint="cs"/>
          <w:sz w:val="24"/>
          <w:szCs w:val="24"/>
          <w:rtl/>
        </w:rPr>
        <w:t xml:space="preserve"> של </w:t>
      </w:r>
      <w:r w:rsidR="00A37572" w:rsidRPr="005F3228">
        <w:rPr>
          <w:rFonts w:ascii="David" w:hAnsi="David" w:cs="David"/>
          <w:sz w:val="24"/>
          <w:szCs w:val="24"/>
          <w:rtl/>
        </w:rPr>
        <w:t>בתי המשפט המחוזיים ובית המשפט העליון שניתנ</w:t>
      </w:r>
      <w:r w:rsidR="00566ED0" w:rsidRPr="005F3228">
        <w:rPr>
          <w:rFonts w:ascii="David" w:hAnsi="David" w:cs="David" w:hint="cs"/>
          <w:sz w:val="24"/>
          <w:szCs w:val="24"/>
          <w:rtl/>
        </w:rPr>
        <w:t>ו</w:t>
      </w:r>
      <w:r w:rsidR="00A37572" w:rsidRPr="005F3228">
        <w:rPr>
          <w:rFonts w:ascii="David" w:hAnsi="David" w:cs="David"/>
          <w:sz w:val="24"/>
          <w:szCs w:val="24"/>
          <w:rtl/>
        </w:rPr>
        <w:t xml:space="preserve"> במהלך עשרים השנים שחלפו מאז </w:t>
      </w:r>
      <w:proofErr w:type="spellStart"/>
      <w:r w:rsidR="008D2C51" w:rsidRPr="005F3228">
        <w:rPr>
          <w:rFonts w:ascii="David" w:hAnsi="David" w:cs="David" w:hint="cs"/>
          <w:sz w:val="24"/>
          <w:szCs w:val="24"/>
          <w:rtl/>
        </w:rPr>
        <w:t>א.ש.י.ר</w:t>
      </w:r>
      <w:proofErr w:type="spellEnd"/>
      <w:r w:rsidR="00566ED0" w:rsidRPr="005F3228">
        <w:rPr>
          <w:rFonts w:ascii="David" w:hAnsi="David" w:cs="David" w:hint="cs"/>
          <w:sz w:val="24"/>
          <w:szCs w:val="24"/>
          <w:rtl/>
        </w:rPr>
        <w:t>, בהם הועלתה</w:t>
      </w:r>
      <w:r w:rsidR="008D2C51" w:rsidRPr="005F3228">
        <w:rPr>
          <w:rFonts w:ascii="David" w:hAnsi="David" w:cs="David" w:hint="cs"/>
          <w:sz w:val="24"/>
          <w:szCs w:val="24"/>
          <w:rtl/>
        </w:rPr>
        <w:t xml:space="preserve"> </w:t>
      </w:r>
      <w:r w:rsidR="00566ED0" w:rsidRPr="005F3228">
        <w:rPr>
          <w:rFonts w:ascii="David" w:hAnsi="David" w:cs="David" w:hint="cs"/>
          <w:sz w:val="24"/>
          <w:szCs w:val="24"/>
          <w:rtl/>
        </w:rPr>
        <w:t xml:space="preserve">טענה לעשיית עושר ולא במשפט </w:t>
      </w:r>
      <w:r w:rsidR="006137C1" w:rsidRPr="005F3228">
        <w:rPr>
          <w:rFonts w:ascii="David" w:hAnsi="David" w:cs="David" w:hint="cs"/>
          <w:sz w:val="24"/>
          <w:szCs w:val="24"/>
          <w:rtl/>
        </w:rPr>
        <w:t>בהקשר של</w:t>
      </w:r>
      <w:r w:rsidR="00566ED0" w:rsidRPr="005F3228">
        <w:rPr>
          <w:rFonts w:ascii="David" w:hAnsi="David" w:cs="David" w:hint="cs"/>
          <w:sz w:val="24"/>
          <w:szCs w:val="24"/>
          <w:rtl/>
        </w:rPr>
        <w:t xml:space="preserve"> תוצרים רוחניים</w:t>
      </w:r>
      <w:r w:rsidRPr="005F3228">
        <w:rPr>
          <w:rFonts w:ascii="David" w:hAnsi="David" w:cs="David"/>
          <w:sz w:val="24"/>
          <w:szCs w:val="24"/>
          <w:rtl/>
        </w:rPr>
        <w:t>.</w:t>
      </w:r>
      <w:r w:rsidR="00FA762A" w:rsidRPr="005F3228">
        <w:rPr>
          <w:rFonts w:ascii="David" w:hAnsi="David" w:cs="David"/>
          <w:sz w:val="24"/>
          <w:szCs w:val="24"/>
          <w:rtl/>
        </w:rPr>
        <w:t xml:space="preserve"> </w:t>
      </w:r>
      <w:r w:rsidR="00EF2BE3" w:rsidRPr="005F3228">
        <w:rPr>
          <w:rFonts w:ascii="David" w:hAnsi="David" w:cs="David" w:hint="cs"/>
          <w:sz w:val="24"/>
          <w:szCs w:val="24"/>
          <w:rtl/>
        </w:rPr>
        <w:t xml:space="preserve">בשלב השני </w:t>
      </w:r>
      <w:r w:rsidR="00331ABB" w:rsidRPr="005F3228">
        <w:rPr>
          <w:rFonts w:ascii="David" w:hAnsi="David" w:cs="David" w:hint="cs"/>
          <w:sz w:val="24"/>
          <w:szCs w:val="24"/>
          <w:rtl/>
        </w:rPr>
        <w:t xml:space="preserve">בוצע </w:t>
      </w:r>
      <w:r w:rsidR="0051542C" w:rsidRPr="005F3228">
        <w:rPr>
          <w:rFonts w:ascii="David" w:hAnsi="David" w:cs="David" w:hint="eastAsia"/>
          <w:sz w:val="24"/>
          <w:szCs w:val="24"/>
          <w:rtl/>
        </w:rPr>
        <w:t>ניתוח</w:t>
      </w:r>
      <w:r w:rsidR="0051542C" w:rsidRPr="005F3228">
        <w:rPr>
          <w:rFonts w:ascii="David" w:hAnsi="David" w:cs="David" w:hint="cs"/>
          <w:sz w:val="24"/>
          <w:szCs w:val="24"/>
          <w:rtl/>
        </w:rPr>
        <w:t xml:space="preserve"> </w:t>
      </w:r>
      <w:r w:rsidR="00331ABB" w:rsidRPr="005F3228">
        <w:rPr>
          <w:rFonts w:ascii="David" w:hAnsi="David" w:cs="David" w:hint="cs"/>
          <w:sz w:val="24"/>
          <w:szCs w:val="24"/>
          <w:rtl/>
        </w:rPr>
        <w:t xml:space="preserve">איכותי </w:t>
      </w:r>
      <w:r w:rsidR="00EE06CC" w:rsidRPr="005F3228">
        <w:rPr>
          <w:rFonts w:ascii="David" w:hAnsi="David" w:cs="David" w:hint="cs"/>
          <w:sz w:val="24"/>
          <w:szCs w:val="24"/>
          <w:rtl/>
        </w:rPr>
        <w:t xml:space="preserve">של המקרים "דמויי </w:t>
      </w:r>
      <w:proofErr w:type="spellStart"/>
      <w:r w:rsidR="00EE06CC" w:rsidRPr="005F3228">
        <w:rPr>
          <w:rFonts w:ascii="David" w:hAnsi="David" w:cs="David" w:hint="cs"/>
          <w:sz w:val="24"/>
          <w:szCs w:val="24"/>
          <w:rtl/>
        </w:rPr>
        <w:t>א.ש.י.ר</w:t>
      </w:r>
      <w:proofErr w:type="spellEnd"/>
      <w:r w:rsidR="00EE06CC" w:rsidRPr="005F3228">
        <w:rPr>
          <w:rFonts w:ascii="David" w:hAnsi="David" w:cs="David" w:hint="cs"/>
          <w:sz w:val="24"/>
          <w:szCs w:val="24"/>
          <w:rtl/>
        </w:rPr>
        <w:t xml:space="preserve">", בהם ניתן סעד </w:t>
      </w:r>
      <w:proofErr w:type="spellStart"/>
      <w:r w:rsidR="00EE06CC" w:rsidRPr="005F3228">
        <w:rPr>
          <w:rFonts w:ascii="David" w:hAnsi="David" w:cs="David" w:hint="cs"/>
          <w:sz w:val="24"/>
          <w:szCs w:val="24"/>
          <w:rtl/>
        </w:rPr>
        <w:t>מכח</w:t>
      </w:r>
      <w:proofErr w:type="spellEnd"/>
      <w:r w:rsidR="00EE06CC" w:rsidRPr="005F3228">
        <w:rPr>
          <w:rFonts w:ascii="David" w:hAnsi="David" w:cs="David" w:hint="cs"/>
          <w:sz w:val="24"/>
          <w:szCs w:val="24"/>
          <w:rtl/>
        </w:rPr>
        <w:t xml:space="preserve"> עשיית עושר ולא משפט, בהעדר זכות קניין </w:t>
      </w:r>
      <w:r w:rsidR="000E5B64" w:rsidRPr="005F3228">
        <w:rPr>
          <w:rFonts w:ascii="David" w:hAnsi="David" w:cs="David" w:hint="eastAsia"/>
          <w:sz w:val="24"/>
          <w:szCs w:val="24"/>
          <w:rtl/>
        </w:rPr>
        <w:t>רוחני</w:t>
      </w:r>
      <w:r w:rsidR="000E5B64" w:rsidRPr="005F3228">
        <w:rPr>
          <w:rFonts w:ascii="David" w:hAnsi="David" w:cs="David" w:hint="cs"/>
          <w:sz w:val="24"/>
          <w:szCs w:val="24"/>
          <w:rtl/>
        </w:rPr>
        <w:t xml:space="preserve"> </w:t>
      </w:r>
      <w:r w:rsidR="00EE06CC" w:rsidRPr="005F3228">
        <w:rPr>
          <w:rFonts w:ascii="David" w:hAnsi="David" w:cs="David" w:hint="cs"/>
          <w:sz w:val="24"/>
          <w:szCs w:val="24"/>
          <w:rtl/>
        </w:rPr>
        <w:t xml:space="preserve">ספציפית. </w:t>
      </w:r>
      <w:r w:rsidR="004269FB" w:rsidRPr="005F3228">
        <w:rPr>
          <w:rFonts w:ascii="David" w:hAnsi="David" w:cs="David"/>
          <w:sz w:val="24"/>
          <w:szCs w:val="24"/>
          <w:rtl/>
        </w:rPr>
        <w:t xml:space="preserve">הממצאים העיקריים העולים מבדיקה זו הם כי בניגוד לתחזיות הקודרות, הלכת </w:t>
      </w:r>
      <w:proofErr w:type="spellStart"/>
      <w:r w:rsidR="004269FB" w:rsidRPr="005F3228">
        <w:rPr>
          <w:rFonts w:ascii="David" w:hAnsi="David" w:cs="David"/>
          <w:sz w:val="24"/>
          <w:szCs w:val="24"/>
          <w:rtl/>
        </w:rPr>
        <w:t>א.ש.י.ר</w:t>
      </w:r>
      <w:proofErr w:type="spellEnd"/>
      <w:r w:rsidR="004269FB" w:rsidRPr="005F3228">
        <w:rPr>
          <w:rFonts w:ascii="David" w:hAnsi="David" w:cs="David"/>
          <w:sz w:val="24"/>
          <w:szCs w:val="24"/>
          <w:rtl/>
        </w:rPr>
        <w:t>.</w:t>
      </w:r>
      <w:r w:rsidR="00331ABB" w:rsidRPr="005F3228">
        <w:rPr>
          <w:rFonts w:ascii="David" w:hAnsi="David" w:cs="David" w:hint="cs"/>
          <w:sz w:val="24"/>
          <w:szCs w:val="24"/>
          <w:rtl/>
        </w:rPr>
        <w:t>,</w:t>
      </w:r>
      <w:r w:rsidR="004269FB" w:rsidRPr="005F3228">
        <w:rPr>
          <w:rFonts w:ascii="David" w:hAnsi="David" w:cs="David"/>
          <w:sz w:val="24"/>
          <w:szCs w:val="24"/>
          <w:rtl/>
        </w:rPr>
        <w:t xml:space="preserve"> </w:t>
      </w:r>
      <w:r w:rsidR="00331ABB" w:rsidRPr="005F3228">
        <w:rPr>
          <w:rFonts w:ascii="David" w:hAnsi="David" w:cs="David" w:hint="cs"/>
          <w:sz w:val="24"/>
          <w:szCs w:val="24"/>
          <w:rtl/>
        </w:rPr>
        <w:t xml:space="preserve">באופן בו יושמה על ידי בתי המשפט, </w:t>
      </w:r>
      <w:r w:rsidR="004269FB" w:rsidRPr="005F3228">
        <w:rPr>
          <w:rFonts w:ascii="David" w:hAnsi="David" w:cs="David"/>
          <w:sz w:val="24"/>
          <w:szCs w:val="24"/>
          <w:rtl/>
        </w:rPr>
        <w:t xml:space="preserve">לא גרמה ל"רעידת אדמה" בתחום הקניין הרוחני. </w:t>
      </w:r>
      <w:r w:rsidR="003F729C" w:rsidRPr="005F3228">
        <w:rPr>
          <w:rFonts w:ascii="David" w:hAnsi="David" w:cs="David" w:hint="cs"/>
          <w:sz w:val="24"/>
          <w:szCs w:val="24"/>
          <w:rtl/>
        </w:rPr>
        <w:t xml:space="preserve">מתוך מאות פסקי דין </w:t>
      </w:r>
      <w:r w:rsidR="00A8014C" w:rsidRPr="005F3228">
        <w:rPr>
          <w:rFonts w:ascii="David" w:hAnsi="David" w:cs="David" w:hint="cs"/>
          <w:sz w:val="24"/>
          <w:szCs w:val="24"/>
          <w:rtl/>
        </w:rPr>
        <w:t xml:space="preserve">והחלטות </w:t>
      </w:r>
      <w:r w:rsidR="003F729C" w:rsidRPr="005F3228">
        <w:rPr>
          <w:rFonts w:ascii="David" w:hAnsi="David" w:cs="David" w:hint="cs"/>
          <w:sz w:val="24"/>
          <w:szCs w:val="24"/>
          <w:rtl/>
        </w:rPr>
        <w:t>שעסקו בקניין רוחני ועשיית עושר ולא במשפט</w:t>
      </w:r>
      <w:r w:rsidR="000B744F" w:rsidRPr="005F3228">
        <w:rPr>
          <w:rFonts w:ascii="David" w:hAnsi="David" w:cs="David" w:hint="cs"/>
          <w:sz w:val="24"/>
          <w:szCs w:val="24"/>
          <w:rtl/>
        </w:rPr>
        <w:t>, מסתבר כי</w:t>
      </w:r>
      <w:r w:rsidR="003F729C" w:rsidRPr="005F3228">
        <w:rPr>
          <w:rFonts w:ascii="David" w:hAnsi="David" w:cs="David" w:hint="cs"/>
          <w:sz w:val="24"/>
          <w:szCs w:val="24"/>
          <w:rtl/>
        </w:rPr>
        <w:t xml:space="preserve"> </w:t>
      </w:r>
      <w:r w:rsidR="00A8014C" w:rsidRPr="005F3228">
        <w:rPr>
          <w:rFonts w:ascii="David" w:hAnsi="David" w:cs="David" w:hint="cs"/>
          <w:sz w:val="24"/>
          <w:szCs w:val="24"/>
          <w:rtl/>
        </w:rPr>
        <w:t>המקרים</w:t>
      </w:r>
      <w:r w:rsidR="003F729C" w:rsidRPr="005F3228">
        <w:rPr>
          <w:rFonts w:ascii="David" w:hAnsi="David" w:cs="David" w:hint="cs"/>
          <w:sz w:val="24"/>
          <w:szCs w:val="24"/>
          <w:rtl/>
        </w:rPr>
        <w:t xml:space="preserve"> </w:t>
      </w:r>
      <w:r w:rsidR="00EE06CC" w:rsidRPr="005F3228">
        <w:rPr>
          <w:rFonts w:ascii="David" w:hAnsi="David" w:cs="David" w:hint="cs"/>
          <w:sz w:val="24"/>
          <w:szCs w:val="24"/>
          <w:rtl/>
        </w:rPr>
        <w:t xml:space="preserve">"דמויי </w:t>
      </w:r>
      <w:proofErr w:type="spellStart"/>
      <w:r w:rsidR="00EE06CC" w:rsidRPr="005F3228">
        <w:rPr>
          <w:rFonts w:ascii="David" w:hAnsi="David" w:cs="David" w:hint="cs"/>
          <w:sz w:val="24"/>
          <w:szCs w:val="24"/>
          <w:rtl/>
        </w:rPr>
        <w:t>א.ש.י.ר</w:t>
      </w:r>
      <w:proofErr w:type="spellEnd"/>
      <w:r w:rsidR="00EE06CC" w:rsidRPr="005F3228">
        <w:rPr>
          <w:rFonts w:ascii="David" w:hAnsi="David" w:cs="David" w:hint="cs"/>
          <w:sz w:val="24"/>
          <w:szCs w:val="24"/>
          <w:rtl/>
        </w:rPr>
        <w:t xml:space="preserve">" הם מועטים מאוד, וניתן לסווגם לכמה קטגוריות בולטות, שבהן קיים או היה קיים </w:t>
      </w:r>
      <w:r w:rsidR="005601AF" w:rsidRPr="005F3228">
        <w:rPr>
          <w:rFonts w:ascii="David" w:hAnsi="David" w:cs="David" w:hint="cs"/>
          <w:sz w:val="24"/>
          <w:szCs w:val="24"/>
          <w:rtl/>
        </w:rPr>
        <w:t xml:space="preserve">קושי ממשי בדיני הקניין הרוחני, ונדרש גישור בינם לבין המציאות. </w:t>
      </w:r>
      <w:r w:rsidR="00E519AC" w:rsidRPr="005F3228">
        <w:rPr>
          <w:rFonts w:ascii="David" w:hAnsi="David" w:cs="David" w:hint="cs"/>
          <w:sz w:val="24"/>
          <w:szCs w:val="24"/>
          <w:rtl/>
        </w:rPr>
        <w:t>החשש לפריצת גבולות, שהעסיק את המבקרים, התממש לכל היותר במקר</w:t>
      </w:r>
      <w:r w:rsidR="00644293" w:rsidRPr="005F3228">
        <w:rPr>
          <w:rFonts w:ascii="David" w:hAnsi="David" w:cs="David" w:hint="cs"/>
          <w:sz w:val="24"/>
          <w:szCs w:val="24"/>
          <w:rtl/>
        </w:rPr>
        <w:t>ים ספורים</w:t>
      </w:r>
      <w:r w:rsidR="00E519AC" w:rsidRPr="005F3228">
        <w:rPr>
          <w:rFonts w:ascii="David" w:hAnsi="David" w:cs="David" w:hint="cs"/>
          <w:sz w:val="24"/>
          <w:szCs w:val="24"/>
          <w:rtl/>
        </w:rPr>
        <w:t xml:space="preserve">. </w:t>
      </w:r>
      <w:bookmarkStart w:id="0" w:name="_Hlk39092288"/>
      <w:r w:rsidR="00E519AC" w:rsidRPr="005F3228">
        <w:rPr>
          <w:rFonts w:ascii="David" w:hAnsi="David" w:cs="David" w:hint="cs"/>
          <w:sz w:val="24"/>
          <w:szCs w:val="24"/>
          <w:rtl/>
        </w:rPr>
        <w:t xml:space="preserve">לעומת זאת, ובמקביל, נעשה </w:t>
      </w:r>
      <w:r w:rsidR="00644293" w:rsidRPr="005F3228">
        <w:rPr>
          <w:rFonts w:ascii="David" w:hAnsi="David" w:cs="David" w:hint="cs"/>
          <w:sz w:val="24"/>
          <w:szCs w:val="24"/>
          <w:rtl/>
        </w:rPr>
        <w:t xml:space="preserve">לאחרונה </w:t>
      </w:r>
      <w:r w:rsidR="00E519AC" w:rsidRPr="005F3228">
        <w:rPr>
          <w:rFonts w:ascii="David" w:hAnsi="David" w:cs="David" w:hint="cs"/>
          <w:sz w:val="24"/>
          <w:szCs w:val="24"/>
          <w:rtl/>
        </w:rPr>
        <w:t>שימוש מפתיע ב</w:t>
      </w:r>
      <w:r w:rsidR="000B744F" w:rsidRPr="005F3228">
        <w:rPr>
          <w:rFonts w:ascii="David" w:hAnsi="David" w:cs="David" w:hint="cs"/>
          <w:sz w:val="24"/>
          <w:szCs w:val="24"/>
          <w:rtl/>
        </w:rPr>
        <w:t>דיני עשיית עושר</w:t>
      </w:r>
      <w:r w:rsidR="009861AA" w:rsidRPr="005F3228">
        <w:rPr>
          <w:rFonts w:ascii="David" w:hAnsi="David" w:cs="David" w:hint="cs"/>
          <w:sz w:val="24"/>
          <w:szCs w:val="24"/>
          <w:rtl/>
        </w:rPr>
        <w:t xml:space="preserve"> ולא במשפט </w:t>
      </w:r>
      <w:r w:rsidR="00E519AC" w:rsidRPr="005F3228">
        <w:rPr>
          <w:rFonts w:ascii="David" w:hAnsi="David" w:cs="David" w:hint="cs"/>
          <w:sz w:val="24"/>
          <w:szCs w:val="24"/>
          <w:rtl/>
        </w:rPr>
        <w:t xml:space="preserve">דווקא </w:t>
      </w:r>
      <w:r w:rsidR="00B0455D" w:rsidRPr="005F3228">
        <w:rPr>
          <w:rFonts w:ascii="David" w:hAnsi="David" w:cs="David" w:hint="cs"/>
          <w:sz w:val="24"/>
          <w:szCs w:val="24"/>
          <w:rtl/>
        </w:rPr>
        <w:t xml:space="preserve">כאמצעי </w:t>
      </w:r>
      <w:r w:rsidR="009861AA" w:rsidRPr="005F3228">
        <w:rPr>
          <w:rFonts w:ascii="David" w:hAnsi="David" w:cs="David" w:hint="cs"/>
          <w:sz w:val="24"/>
          <w:szCs w:val="24"/>
          <w:rtl/>
        </w:rPr>
        <w:t xml:space="preserve">להגבלת </w:t>
      </w:r>
      <w:r w:rsidR="00B0455D" w:rsidRPr="005F3228">
        <w:rPr>
          <w:rFonts w:ascii="David" w:hAnsi="David" w:cs="David" w:hint="cs"/>
          <w:sz w:val="24"/>
          <w:szCs w:val="24"/>
          <w:rtl/>
        </w:rPr>
        <w:t>זכויותיו של בעל הקניין הרוחני</w:t>
      </w:r>
      <w:r w:rsidR="00644293" w:rsidRPr="005F3228">
        <w:rPr>
          <w:rFonts w:ascii="David" w:hAnsi="David" w:cs="David" w:hint="cs"/>
          <w:sz w:val="24"/>
          <w:szCs w:val="24"/>
          <w:rtl/>
        </w:rPr>
        <w:t xml:space="preserve"> ולעידוד התחרות.</w:t>
      </w:r>
      <w:r w:rsidR="005601AF" w:rsidRPr="005F3228">
        <w:rPr>
          <w:rFonts w:ascii="David" w:hAnsi="David" w:cs="David" w:hint="cs"/>
          <w:sz w:val="24"/>
          <w:szCs w:val="24"/>
          <w:rtl/>
        </w:rPr>
        <w:t xml:space="preserve"> </w:t>
      </w:r>
      <w:bookmarkEnd w:id="0"/>
      <w:r w:rsidR="005724E7" w:rsidRPr="005F3228">
        <w:rPr>
          <w:rFonts w:ascii="David" w:hAnsi="David" w:cs="David" w:hint="cs"/>
          <w:sz w:val="24"/>
          <w:szCs w:val="24"/>
          <w:rtl/>
        </w:rPr>
        <w:t>ממצאים אלה מצביעים על כך ש</w:t>
      </w:r>
      <w:r w:rsidR="004269FB" w:rsidRPr="005F3228">
        <w:rPr>
          <w:rFonts w:ascii="David" w:hAnsi="David" w:cs="David"/>
          <w:sz w:val="24"/>
          <w:szCs w:val="24"/>
          <w:rtl/>
        </w:rPr>
        <w:t xml:space="preserve">הלכת </w:t>
      </w:r>
      <w:proofErr w:type="spellStart"/>
      <w:r w:rsidR="004269FB" w:rsidRPr="005F3228">
        <w:rPr>
          <w:rFonts w:ascii="David" w:hAnsi="David" w:cs="David"/>
          <w:sz w:val="24"/>
          <w:szCs w:val="24"/>
          <w:rtl/>
        </w:rPr>
        <w:t>א.ש.י.ר</w:t>
      </w:r>
      <w:proofErr w:type="spellEnd"/>
      <w:r w:rsidR="004269FB" w:rsidRPr="005F3228">
        <w:rPr>
          <w:rFonts w:ascii="David" w:hAnsi="David" w:cs="David"/>
          <w:sz w:val="24"/>
          <w:szCs w:val="24"/>
          <w:rtl/>
        </w:rPr>
        <w:t xml:space="preserve"> </w:t>
      </w:r>
      <w:r w:rsidR="00711773" w:rsidRPr="005F3228">
        <w:rPr>
          <w:rFonts w:ascii="David" w:hAnsi="David" w:cs="David" w:hint="cs"/>
          <w:sz w:val="24"/>
          <w:szCs w:val="24"/>
          <w:rtl/>
        </w:rPr>
        <w:t>מהווה בעיקר</w:t>
      </w:r>
      <w:r w:rsidR="004269FB" w:rsidRPr="005F3228">
        <w:rPr>
          <w:rFonts w:ascii="David" w:hAnsi="David" w:cs="David"/>
          <w:sz w:val="24"/>
          <w:szCs w:val="24"/>
          <w:rtl/>
        </w:rPr>
        <w:t xml:space="preserve"> מכשיר ל"כיול" הדין ולמילוי </w:t>
      </w:r>
      <w:r w:rsidR="005601AF" w:rsidRPr="005F3228">
        <w:rPr>
          <w:rFonts w:ascii="David" w:hAnsi="David" w:cs="David" w:hint="cs"/>
          <w:sz w:val="24"/>
          <w:szCs w:val="24"/>
          <w:rtl/>
        </w:rPr>
        <w:t xml:space="preserve">פערים </w:t>
      </w:r>
      <w:r w:rsidR="004269FB" w:rsidRPr="005F3228">
        <w:rPr>
          <w:rFonts w:ascii="David" w:hAnsi="David" w:cs="David"/>
          <w:sz w:val="24"/>
          <w:szCs w:val="24"/>
          <w:rtl/>
        </w:rPr>
        <w:t>בהקשרים בהם נדרש</w:t>
      </w:r>
      <w:r w:rsidR="005601AF" w:rsidRPr="005F3228">
        <w:rPr>
          <w:rFonts w:ascii="David" w:hAnsi="David" w:cs="David" w:hint="cs"/>
          <w:sz w:val="24"/>
          <w:szCs w:val="24"/>
          <w:rtl/>
        </w:rPr>
        <w:t>ים</w:t>
      </w:r>
      <w:r w:rsidR="004269FB" w:rsidRPr="005F3228">
        <w:rPr>
          <w:rFonts w:ascii="David" w:hAnsi="David" w:cs="David"/>
          <w:sz w:val="24"/>
          <w:szCs w:val="24"/>
          <w:rtl/>
        </w:rPr>
        <w:t xml:space="preserve"> גמישות </w:t>
      </w:r>
      <w:r w:rsidR="005601AF" w:rsidRPr="005F3228">
        <w:rPr>
          <w:rFonts w:ascii="David" w:hAnsi="David" w:cs="David" w:hint="cs"/>
          <w:sz w:val="24"/>
          <w:szCs w:val="24"/>
          <w:rtl/>
        </w:rPr>
        <w:t xml:space="preserve">או </w:t>
      </w:r>
      <w:r w:rsidR="004269FB" w:rsidRPr="005F3228">
        <w:rPr>
          <w:rFonts w:ascii="David" w:hAnsi="David" w:cs="David"/>
          <w:sz w:val="24"/>
          <w:szCs w:val="24"/>
          <w:rtl/>
        </w:rPr>
        <w:t xml:space="preserve">גישור בין החוק לבין המציאות הדינאמית, </w:t>
      </w:r>
      <w:r w:rsidR="00711773" w:rsidRPr="005F3228">
        <w:rPr>
          <w:rFonts w:ascii="David" w:hAnsi="David" w:cs="David" w:hint="cs"/>
          <w:sz w:val="24"/>
          <w:szCs w:val="24"/>
          <w:rtl/>
        </w:rPr>
        <w:t>ואינה פוגעת</w:t>
      </w:r>
      <w:r w:rsidR="004269FB" w:rsidRPr="005F3228">
        <w:rPr>
          <w:rFonts w:ascii="David" w:hAnsi="David" w:cs="David"/>
          <w:sz w:val="24"/>
          <w:szCs w:val="24"/>
          <w:rtl/>
        </w:rPr>
        <w:t xml:space="preserve"> פגיעה קשה </w:t>
      </w:r>
      <w:r w:rsidR="00BA7AFA" w:rsidRPr="005F3228">
        <w:rPr>
          <w:rFonts w:ascii="David" w:hAnsi="David" w:cs="David" w:hint="cs"/>
          <w:sz w:val="24"/>
          <w:szCs w:val="24"/>
          <w:rtl/>
        </w:rPr>
        <w:t>באיזונים שנקבעו על ידי המחוקק בתחום הקניין הרוחני</w:t>
      </w:r>
      <w:r w:rsidR="004269FB" w:rsidRPr="005F3228">
        <w:rPr>
          <w:rFonts w:ascii="David" w:hAnsi="David" w:cs="David"/>
          <w:sz w:val="24"/>
          <w:szCs w:val="24"/>
          <w:rtl/>
        </w:rPr>
        <w:t>.</w:t>
      </w:r>
      <w:r w:rsidR="00711773" w:rsidRPr="005F3228">
        <w:rPr>
          <w:rFonts w:ascii="David" w:hAnsi="David" w:cs="David" w:hint="cs"/>
          <w:sz w:val="24"/>
          <w:szCs w:val="24"/>
          <w:rtl/>
        </w:rPr>
        <w:t xml:space="preserve"> </w:t>
      </w:r>
      <w:r w:rsidR="009C43BA" w:rsidRPr="005F3228">
        <w:rPr>
          <w:rFonts w:ascii="David" w:hAnsi="David" w:cs="David" w:hint="cs"/>
          <w:sz w:val="24"/>
          <w:szCs w:val="24"/>
          <w:rtl/>
        </w:rPr>
        <w:t>הדבר מחייב הערכה מחודשת של הקריאות לביטול ההלכה.</w:t>
      </w:r>
    </w:p>
    <w:p w14:paraId="0E702DB8" w14:textId="77777777" w:rsidR="00BA7AFA" w:rsidRPr="005F3228" w:rsidRDefault="00BA7AFA" w:rsidP="005324FB">
      <w:pPr>
        <w:jc w:val="both"/>
        <w:rPr>
          <w:rFonts w:ascii="David" w:hAnsi="David" w:cs="David"/>
          <w:b/>
          <w:bCs/>
          <w:sz w:val="24"/>
          <w:szCs w:val="24"/>
          <w:rtl/>
        </w:rPr>
      </w:pPr>
      <w:bookmarkStart w:id="1" w:name="_Toc28175974"/>
    </w:p>
    <w:p w14:paraId="0096A6E4" w14:textId="77777777" w:rsidR="008D339B" w:rsidRPr="005F3228" w:rsidRDefault="00EA2DEF" w:rsidP="006763F3">
      <w:pPr>
        <w:jc w:val="both"/>
        <w:rPr>
          <w:rFonts w:ascii="David" w:hAnsi="David" w:cs="David"/>
          <w:b/>
          <w:bCs/>
          <w:sz w:val="24"/>
          <w:szCs w:val="24"/>
          <w:rtl/>
        </w:rPr>
      </w:pPr>
      <w:r w:rsidRPr="005F3228">
        <w:rPr>
          <w:rFonts w:ascii="David" w:hAnsi="David" w:cs="David"/>
          <w:b/>
          <w:bCs/>
          <w:sz w:val="24"/>
          <w:szCs w:val="24"/>
          <w:rtl/>
        </w:rPr>
        <w:t>תוכן העניינים</w:t>
      </w:r>
      <w:r w:rsidRPr="005F3228">
        <w:rPr>
          <w:rFonts w:ascii="David" w:hAnsi="David" w:cs="David" w:hint="cs"/>
          <w:b/>
          <w:bCs/>
          <w:sz w:val="24"/>
          <w:szCs w:val="24"/>
          <w:rtl/>
        </w:rPr>
        <w:t>:</w:t>
      </w:r>
      <w:r w:rsidRPr="005F3228">
        <w:rPr>
          <w:rFonts w:hint="cs"/>
          <w:b/>
          <w:bCs/>
          <w:sz w:val="24"/>
          <w:szCs w:val="24"/>
          <w:rtl/>
        </w:rPr>
        <w:t xml:space="preserve"> </w:t>
      </w:r>
      <w:bookmarkStart w:id="2" w:name="_Toc28197959"/>
      <w:bookmarkEnd w:id="1"/>
      <w:r w:rsidRPr="005F3228">
        <w:rPr>
          <w:rFonts w:ascii="David" w:hAnsi="David" w:cs="David" w:hint="cs"/>
          <w:b/>
          <w:bCs/>
          <w:sz w:val="24"/>
          <w:szCs w:val="24"/>
          <w:rtl/>
        </w:rPr>
        <w:t xml:space="preserve">מבוא; א. הלכת </w:t>
      </w:r>
      <w:proofErr w:type="spellStart"/>
      <w:r w:rsidRPr="005F3228">
        <w:rPr>
          <w:rFonts w:ascii="David" w:hAnsi="David" w:cs="David" w:hint="cs"/>
          <w:b/>
          <w:bCs/>
          <w:sz w:val="24"/>
          <w:szCs w:val="24"/>
          <w:rtl/>
        </w:rPr>
        <w:t>א.ש.י.ר</w:t>
      </w:r>
      <w:proofErr w:type="spellEnd"/>
      <w:r w:rsidRPr="005F3228">
        <w:rPr>
          <w:rFonts w:ascii="David" w:hAnsi="David" w:cs="David" w:hint="cs"/>
          <w:b/>
          <w:bCs/>
          <w:sz w:val="24"/>
          <w:szCs w:val="24"/>
          <w:rtl/>
        </w:rPr>
        <w:t xml:space="preserve"> 1. קניין רוחני וסוגית ההסדר השלילי</w:t>
      </w:r>
      <w:r w:rsidR="004C171C" w:rsidRPr="005F3228">
        <w:rPr>
          <w:rFonts w:ascii="David" w:hAnsi="David" w:cs="David" w:hint="cs"/>
          <w:b/>
          <w:bCs/>
          <w:sz w:val="24"/>
          <w:szCs w:val="24"/>
          <w:rtl/>
        </w:rPr>
        <w:t>;</w:t>
      </w:r>
      <w:r w:rsidRPr="005F3228">
        <w:rPr>
          <w:rFonts w:ascii="David" w:hAnsi="David" w:cs="David" w:hint="cs"/>
          <w:b/>
          <w:bCs/>
          <w:sz w:val="24"/>
          <w:szCs w:val="24"/>
          <w:rtl/>
        </w:rPr>
        <w:t xml:space="preserve"> 2. בעקבות </w:t>
      </w:r>
      <w:proofErr w:type="spellStart"/>
      <w:r w:rsidRPr="005F3228">
        <w:rPr>
          <w:rFonts w:ascii="David" w:hAnsi="David" w:cs="David" w:hint="cs"/>
          <w:b/>
          <w:bCs/>
          <w:sz w:val="24"/>
          <w:szCs w:val="24"/>
          <w:rtl/>
        </w:rPr>
        <w:t>א.ש.י.ר</w:t>
      </w:r>
      <w:proofErr w:type="spellEnd"/>
      <w:r w:rsidRPr="005F3228">
        <w:rPr>
          <w:rFonts w:ascii="David" w:hAnsi="David" w:cs="David" w:hint="cs"/>
          <w:b/>
          <w:bCs/>
          <w:sz w:val="24"/>
          <w:szCs w:val="24"/>
          <w:rtl/>
        </w:rPr>
        <w:t>-ביקורות ותחזיות; ב. אחרי עשרים שנה: מחקר אמפירי</w:t>
      </w:r>
      <w:r w:rsidR="00477693" w:rsidRPr="005F3228">
        <w:rPr>
          <w:rFonts w:ascii="David" w:hAnsi="David" w:cs="David" w:hint="cs"/>
          <w:b/>
          <w:bCs/>
          <w:sz w:val="24"/>
          <w:szCs w:val="24"/>
          <w:rtl/>
        </w:rPr>
        <w:t xml:space="preserve"> כמותי</w:t>
      </w:r>
      <w:r w:rsidRPr="005F3228">
        <w:rPr>
          <w:rFonts w:ascii="David" w:hAnsi="David" w:cs="David" w:hint="cs"/>
          <w:b/>
          <w:bCs/>
          <w:sz w:val="24"/>
          <w:szCs w:val="24"/>
          <w:rtl/>
        </w:rPr>
        <w:t xml:space="preserve"> 1. מתודולוגיה</w:t>
      </w:r>
      <w:r w:rsidR="004C171C" w:rsidRPr="005F3228">
        <w:rPr>
          <w:rFonts w:ascii="David" w:hAnsi="David" w:cs="David" w:hint="cs"/>
          <w:b/>
          <w:bCs/>
          <w:sz w:val="24"/>
          <w:szCs w:val="24"/>
          <w:rtl/>
        </w:rPr>
        <w:t>;</w:t>
      </w:r>
      <w:r w:rsidRPr="005F3228">
        <w:rPr>
          <w:rFonts w:ascii="David" w:hAnsi="David" w:cs="David" w:hint="cs"/>
          <w:b/>
          <w:bCs/>
          <w:sz w:val="24"/>
          <w:szCs w:val="24"/>
          <w:rtl/>
        </w:rPr>
        <w:t xml:space="preserve"> 2. ממצאי המחקר הכמותי א) התמונה הכללית</w:t>
      </w:r>
      <w:r w:rsidR="004C171C" w:rsidRPr="005F3228">
        <w:rPr>
          <w:rFonts w:ascii="David" w:hAnsi="David" w:cs="David" w:hint="cs"/>
          <w:b/>
          <w:bCs/>
          <w:sz w:val="24"/>
          <w:szCs w:val="24"/>
          <w:rtl/>
        </w:rPr>
        <w:t>;</w:t>
      </w:r>
      <w:r w:rsidRPr="005F3228">
        <w:rPr>
          <w:rFonts w:ascii="David" w:hAnsi="David" w:cs="David" w:hint="cs"/>
          <w:b/>
          <w:bCs/>
          <w:sz w:val="24"/>
          <w:szCs w:val="24"/>
          <w:rtl/>
        </w:rPr>
        <w:t xml:space="preserve"> ב) הלכת </w:t>
      </w:r>
      <w:proofErr w:type="spellStart"/>
      <w:r w:rsidRPr="005F3228">
        <w:rPr>
          <w:rFonts w:ascii="David" w:hAnsi="David" w:cs="David" w:hint="cs"/>
          <w:b/>
          <w:bCs/>
          <w:sz w:val="24"/>
          <w:szCs w:val="24"/>
          <w:rtl/>
        </w:rPr>
        <w:t>א.ש.י.ר</w:t>
      </w:r>
      <w:proofErr w:type="spellEnd"/>
      <w:r w:rsidRPr="005F3228">
        <w:rPr>
          <w:rFonts w:ascii="David" w:hAnsi="David" w:cs="David" w:hint="cs"/>
          <w:b/>
          <w:bCs/>
          <w:sz w:val="24"/>
          <w:szCs w:val="24"/>
          <w:rtl/>
        </w:rPr>
        <w:t xml:space="preserve"> בבתי המשפט השונים</w:t>
      </w:r>
      <w:r w:rsidR="004C171C" w:rsidRPr="005F3228">
        <w:rPr>
          <w:rFonts w:ascii="David" w:hAnsi="David" w:cs="David" w:hint="cs"/>
          <w:b/>
          <w:bCs/>
          <w:sz w:val="24"/>
          <w:szCs w:val="24"/>
          <w:rtl/>
        </w:rPr>
        <w:t>;</w:t>
      </w:r>
      <w:r w:rsidRPr="005F3228">
        <w:rPr>
          <w:rFonts w:ascii="David" w:hAnsi="David" w:cs="David" w:hint="cs"/>
          <w:b/>
          <w:bCs/>
          <w:sz w:val="24"/>
          <w:szCs w:val="24"/>
          <w:rtl/>
        </w:rPr>
        <w:t xml:space="preserve"> ג) דחית התביעה בעשיית עושר-על שום מה?; ג. מבט איכותני על המקרים "דמויי </w:t>
      </w:r>
      <w:proofErr w:type="spellStart"/>
      <w:r w:rsidRPr="005F3228">
        <w:rPr>
          <w:rFonts w:ascii="David" w:hAnsi="David" w:cs="David" w:hint="cs"/>
          <w:b/>
          <w:bCs/>
          <w:sz w:val="24"/>
          <w:szCs w:val="24"/>
          <w:rtl/>
        </w:rPr>
        <w:t>א.ש.י.ר</w:t>
      </w:r>
      <w:proofErr w:type="spellEnd"/>
      <w:r w:rsidRPr="005F3228">
        <w:rPr>
          <w:rFonts w:ascii="David" w:hAnsi="David" w:cs="David" w:hint="cs"/>
          <w:b/>
          <w:bCs/>
          <w:sz w:val="24"/>
          <w:szCs w:val="24"/>
          <w:rtl/>
        </w:rPr>
        <w:t xml:space="preserve">" </w:t>
      </w:r>
      <w:r w:rsidR="00A57994" w:rsidRPr="005F3228">
        <w:rPr>
          <w:rFonts w:ascii="David" w:hAnsi="David" w:cs="David" w:hint="cs"/>
          <w:b/>
          <w:bCs/>
          <w:sz w:val="24"/>
          <w:szCs w:val="24"/>
          <w:rtl/>
        </w:rPr>
        <w:t>1. חסר בדיני הקניין הרוחני; א) הזכות לפרסום; ב) זכויות שידור לאירועי ספורט; 2.</w:t>
      </w:r>
      <w:r w:rsidR="00EE62A9" w:rsidRPr="005F3228">
        <w:rPr>
          <w:rFonts w:ascii="David" w:hAnsi="David" w:cs="David" w:hint="cs"/>
          <w:b/>
          <w:bCs/>
          <w:sz w:val="24"/>
          <w:szCs w:val="24"/>
          <w:rtl/>
        </w:rPr>
        <w:t xml:space="preserve"> הגנה על עיצובים לא רשומים</w:t>
      </w:r>
      <w:r w:rsidR="004C171C" w:rsidRPr="005F3228">
        <w:rPr>
          <w:rFonts w:ascii="David" w:hAnsi="David" w:cs="David" w:hint="cs"/>
          <w:b/>
          <w:bCs/>
          <w:sz w:val="24"/>
          <w:szCs w:val="24"/>
          <w:rtl/>
        </w:rPr>
        <w:t>;</w:t>
      </w:r>
      <w:r w:rsidR="00A57994" w:rsidRPr="005F3228">
        <w:rPr>
          <w:rFonts w:ascii="David" w:hAnsi="David" w:cs="David" w:hint="cs"/>
          <w:b/>
          <w:bCs/>
          <w:sz w:val="24"/>
          <w:szCs w:val="24"/>
          <w:rtl/>
        </w:rPr>
        <w:t xml:space="preserve"> 3. </w:t>
      </w:r>
      <w:r w:rsidR="00EE62A9" w:rsidRPr="005F3228">
        <w:rPr>
          <w:rFonts w:ascii="David" w:hAnsi="David" w:cs="David" w:hint="cs"/>
          <w:b/>
          <w:bCs/>
          <w:sz w:val="24"/>
          <w:szCs w:val="24"/>
          <w:rtl/>
        </w:rPr>
        <w:t>קטגוריה שיורית</w:t>
      </w:r>
      <w:r w:rsidR="004C171C" w:rsidRPr="005F3228">
        <w:rPr>
          <w:rFonts w:ascii="David" w:hAnsi="David" w:cs="David" w:hint="cs"/>
          <w:b/>
          <w:bCs/>
          <w:sz w:val="24"/>
          <w:szCs w:val="24"/>
          <w:rtl/>
        </w:rPr>
        <w:t>;</w:t>
      </w:r>
      <w:r w:rsidR="00A57994" w:rsidRPr="005F3228">
        <w:rPr>
          <w:rFonts w:ascii="David" w:hAnsi="David" w:cs="David" w:hint="cs"/>
          <w:b/>
          <w:bCs/>
          <w:sz w:val="24"/>
          <w:szCs w:val="24"/>
          <w:rtl/>
        </w:rPr>
        <w:t xml:space="preserve"> </w:t>
      </w:r>
      <w:r w:rsidR="00510836" w:rsidRPr="005F3228">
        <w:rPr>
          <w:rFonts w:ascii="David" w:hAnsi="David" w:cs="David" w:hint="cs"/>
          <w:b/>
          <w:bCs/>
          <w:sz w:val="24"/>
          <w:szCs w:val="24"/>
          <w:rtl/>
        </w:rPr>
        <w:t xml:space="preserve">4. שימוש הופכי בעשיית עושר; </w:t>
      </w:r>
      <w:r w:rsidRPr="005F3228">
        <w:rPr>
          <w:rFonts w:ascii="David" w:hAnsi="David" w:cs="David" w:hint="cs"/>
          <w:b/>
          <w:bCs/>
          <w:sz w:val="24"/>
          <w:szCs w:val="24"/>
          <w:rtl/>
        </w:rPr>
        <w:t>ד. דיון והערכה</w:t>
      </w:r>
      <w:r w:rsidR="006763F3" w:rsidRPr="005F3228">
        <w:rPr>
          <w:rFonts w:ascii="David" w:hAnsi="David" w:cs="David" w:hint="cs"/>
          <w:b/>
          <w:bCs/>
          <w:sz w:val="24"/>
          <w:szCs w:val="24"/>
          <w:rtl/>
        </w:rPr>
        <w:t>: על ודאות, גמישות, ותוצאות בלתי צפויות</w:t>
      </w:r>
      <w:r w:rsidRPr="005F3228">
        <w:rPr>
          <w:rFonts w:ascii="David" w:hAnsi="David" w:cs="David" w:hint="cs"/>
          <w:b/>
          <w:bCs/>
          <w:sz w:val="24"/>
          <w:szCs w:val="24"/>
          <w:rtl/>
        </w:rPr>
        <w:t xml:space="preserve">; ה. </w:t>
      </w:r>
      <w:r w:rsidR="006763F3" w:rsidRPr="005F3228">
        <w:rPr>
          <w:rFonts w:ascii="David" w:hAnsi="David" w:cs="David" w:hint="cs"/>
          <w:b/>
          <w:bCs/>
          <w:sz w:val="24"/>
          <w:szCs w:val="24"/>
          <w:rtl/>
        </w:rPr>
        <w:t>סיכו</w:t>
      </w:r>
      <w:r w:rsidRPr="005F3228">
        <w:rPr>
          <w:rFonts w:ascii="David" w:hAnsi="David" w:cs="David" w:hint="cs"/>
          <w:b/>
          <w:bCs/>
          <w:sz w:val="24"/>
          <w:szCs w:val="24"/>
          <w:rtl/>
        </w:rPr>
        <w:t>ם; נספח א'</w:t>
      </w:r>
      <w:r w:rsidRPr="005F3228">
        <w:rPr>
          <w:rFonts w:ascii="David" w:hAnsi="David" w:cs="David"/>
          <w:b/>
          <w:bCs/>
          <w:sz w:val="24"/>
          <w:szCs w:val="24"/>
          <w:rtl/>
        </w:rPr>
        <w:t>–</w:t>
      </w:r>
      <w:r w:rsidRPr="005F3228">
        <w:rPr>
          <w:rFonts w:ascii="David" w:hAnsi="David" w:cs="David" w:hint="cs"/>
          <w:b/>
          <w:bCs/>
          <w:sz w:val="24"/>
          <w:szCs w:val="24"/>
          <w:rtl/>
        </w:rPr>
        <w:t>פרטים מתודולוגיים משלימים</w:t>
      </w:r>
      <w:bookmarkEnd w:id="2"/>
    </w:p>
    <w:p w14:paraId="2E8D3166" w14:textId="77777777" w:rsidR="00FA762A" w:rsidRPr="005F3228" w:rsidRDefault="00FA762A">
      <w:pPr>
        <w:bidi w:val="0"/>
        <w:rPr>
          <w:rFonts w:ascii="David" w:hAnsi="David" w:cs="David"/>
          <w:b/>
          <w:bCs/>
          <w:sz w:val="24"/>
          <w:szCs w:val="24"/>
          <w:u w:val="single"/>
        </w:rPr>
      </w:pPr>
      <w:r w:rsidRPr="005F3228">
        <w:rPr>
          <w:rFonts w:ascii="David" w:hAnsi="David" w:cs="David"/>
          <w:b/>
          <w:bCs/>
          <w:sz w:val="24"/>
          <w:szCs w:val="24"/>
          <w:u w:val="single"/>
        </w:rPr>
        <w:br w:type="page"/>
      </w:r>
    </w:p>
    <w:p w14:paraId="79ACF536" w14:textId="77777777" w:rsidR="007A61FC" w:rsidRPr="005F3228" w:rsidRDefault="002E4A53" w:rsidP="00DD4A07">
      <w:pPr>
        <w:pStyle w:val="Heading1"/>
        <w:rPr>
          <w:rFonts w:ascii="David" w:hAnsi="David" w:cs="David"/>
          <w:sz w:val="24"/>
          <w:szCs w:val="24"/>
          <w:rtl/>
        </w:rPr>
      </w:pPr>
      <w:bookmarkStart w:id="3" w:name="_Toc28175975"/>
      <w:r w:rsidRPr="005F3228">
        <w:rPr>
          <w:rFonts w:ascii="David" w:hAnsi="David" w:cs="David"/>
          <w:sz w:val="24"/>
          <w:szCs w:val="24"/>
          <w:rtl/>
        </w:rPr>
        <w:lastRenderedPageBreak/>
        <w:t>מבוא</w:t>
      </w:r>
      <w:bookmarkEnd w:id="3"/>
    </w:p>
    <w:p w14:paraId="7B48182E" w14:textId="77777777" w:rsidR="00205D92" w:rsidRPr="005F3228" w:rsidRDefault="00205D92" w:rsidP="00205D92">
      <w:pPr>
        <w:spacing w:after="120" w:line="300" w:lineRule="exact"/>
        <w:jc w:val="both"/>
        <w:rPr>
          <w:rFonts w:ascii="David" w:hAnsi="David" w:cs="David"/>
          <w:sz w:val="24"/>
          <w:szCs w:val="24"/>
          <w:rtl/>
        </w:rPr>
      </w:pPr>
      <w:r w:rsidRPr="005F3228">
        <w:rPr>
          <w:rFonts w:ascii="David" w:hAnsi="David" w:cs="David"/>
          <w:sz w:val="24"/>
          <w:szCs w:val="24"/>
          <w:rtl/>
        </w:rPr>
        <w:t xml:space="preserve">מחקר זה מבקש להעריך באופן אמפירי את השפעת פסק הדין בעניין </w:t>
      </w:r>
      <w:proofErr w:type="spellStart"/>
      <w:r w:rsidR="00F5516E" w:rsidRPr="005F3228">
        <w:rPr>
          <w:rFonts w:ascii="David" w:hAnsi="David" w:cs="David"/>
          <w:b/>
          <w:bCs/>
          <w:sz w:val="24"/>
          <w:szCs w:val="24"/>
          <w:rtl/>
        </w:rPr>
        <w:t>א.ש.י.ר</w:t>
      </w:r>
      <w:proofErr w:type="spellEnd"/>
      <w:r w:rsidR="00505EE1" w:rsidRPr="005F3228">
        <w:rPr>
          <w:rFonts w:ascii="David" w:hAnsi="David" w:cs="David"/>
          <w:b/>
          <w:bCs/>
          <w:sz w:val="24"/>
          <w:szCs w:val="24"/>
          <w:rtl/>
        </w:rPr>
        <w:t>.</w:t>
      </w:r>
      <w:r w:rsidRPr="005F3228">
        <w:rPr>
          <w:rFonts w:ascii="David" w:hAnsi="David" w:cs="David"/>
          <w:sz w:val="24"/>
          <w:szCs w:val="24"/>
          <w:rtl/>
        </w:rPr>
        <w:t>,</w:t>
      </w:r>
      <w:bookmarkStart w:id="4" w:name="_Ref27910357"/>
      <w:r w:rsidRPr="005F3228">
        <w:rPr>
          <w:rStyle w:val="FootnoteReference"/>
          <w:rFonts w:ascii="David" w:hAnsi="David" w:cs="David"/>
          <w:sz w:val="24"/>
          <w:szCs w:val="24"/>
          <w:rtl/>
        </w:rPr>
        <w:footnoteReference w:id="3"/>
      </w:r>
      <w:bookmarkEnd w:id="4"/>
      <w:r w:rsidRPr="005F3228">
        <w:rPr>
          <w:rFonts w:ascii="David" w:hAnsi="David" w:cs="David"/>
          <w:sz w:val="24"/>
          <w:szCs w:val="24"/>
          <w:rtl/>
        </w:rPr>
        <w:t xml:space="preserve"> ובאופן כללי יותר, את השפעת דיני עשיית עושר ולא במשפט, על תחום הקניין הרוחני בישראל. </w:t>
      </w:r>
    </w:p>
    <w:p w14:paraId="17D4932D" w14:textId="77777777" w:rsidR="00205D92" w:rsidRPr="005F3228" w:rsidRDefault="00205D92" w:rsidP="009C43BA">
      <w:pPr>
        <w:spacing w:after="120" w:line="300" w:lineRule="exact"/>
        <w:jc w:val="both"/>
        <w:rPr>
          <w:rFonts w:ascii="David" w:hAnsi="David" w:cs="David"/>
          <w:sz w:val="24"/>
          <w:szCs w:val="24"/>
          <w:rtl/>
        </w:rPr>
      </w:pPr>
      <w:r w:rsidRPr="005F3228">
        <w:rPr>
          <w:rFonts w:ascii="David" w:hAnsi="David" w:cs="David"/>
          <w:sz w:val="24"/>
          <w:szCs w:val="24"/>
          <w:rtl/>
        </w:rPr>
        <w:t>האם דיני הקניין הרוחני הם המנגנון הבלעדי להגנה על תוצרים רוחניים במשפטנו, כאשר סביבם</w:t>
      </w:r>
      <w:r w:rsidR="000C46C2" w:rsidRPr="005F3228">
        <w:rPr>
          <w:rFonts w:ascii="David" w:hAnsi="David" w:cs="David" w:hint="cs"/>
          <w:sz w:val="24"/>
          <w:szCs w:val="24"/>
          <w:rtl/>
        </w:rPr>
        <w:t xml:space="preserve"> </w:t>
      </w:r>
      <w:r w:rsidRPr="005F3228">
        <w:rPr>
          <w:rFonts w:ascii="David" w:hAnsi="David" w:cs="David"/>
          <w:sz w:val="24"/>
          <w:szCs w:val="24"/>
          <w:rtl/>
        </w:rPr>
        <w:t xml:space="preserve">טבעת של הסדר שלילי, או שמא תיתכן הגנה על תוצרים רוחניים גם מכוח דיני עשיית עושר ולא במשפט ("עשיית עושר") בנסיבות בהן אין עילה מכוח דיני הקניין הרוחני? בשנת 1998, לאחר שנים של עמימות, ניתן על ידי בית המשפט העליון פסק הדין בעניין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Pr="005F3228">
        <w:rPr>
          <w:rFonts w:ascii="David" w:hAnsi="David" w:cs="David"/>
          <w:sz w:val="24"/>
          <w:szCs w:val="24"/>
          <w:rtl/>
        </w:rPr>
        <w:t xml:space="preserve">, אשר הכריע בשאלה זו. בפסק הדין נקבע </w:t>
      </w:r>
      <w:r w:rsidR="000C46C2" w:rsidRPr="005F3228">
        <w:rPr>
          <w:rFonts w:ascii="David" w:hAnsi="David" w:cs="David" w:hint="cs"/>
          <w:sz w:val="24"/>
          <w:szCs w:val="24"/>
          <w:rtl/>
        </w:rPr>
        <w:t xml:space="preserve">בדעת רוב </w:t>
      </w:r>
      <w:r w:rsidRPr="005F3228">
        <w:rPr>
          <w:rFonts w:ascii="David" w:hAnsi="David" w:cs="David"/>
          <w:sz w:val="24"/>
          <w:szCs w:val="24"/>
          <w:rtl/>
        </w:rPr>
        <w:t xml:space="preserve">כי דיני הקניין הרוחני אינם יוצרים, באופן עקרוני, הסדר שלילי, וכי במקרים מסוימים בהם אדם מחקה תוצר רוחני כלשהו שפותח על-ידי אדם אחר </w:t>
      </w:r>
      <w:r w:rsidR="000C46C2" w:rsidRPr="005F3228">
        <w:rPr>
          <w:rFonts w:ascii="David" w:hAnsi="David" w:cs="David" w:hint="cs"/>
          <w:sz w:val="24"/>
          <w:szCs w:val="24"/>
          <w:rtl/>
        </w:rPr>
        <w:t>תיתכן</w:t>
      </w:r>
      <w:r w:rsidRPr="005F3228">
        <w:rPr>
          <w:rFonts w:ascii="David" w:hAnsi="David" w:cs="David"/>
          <w:sz w:val="24"/>
          <w:szCs w:val="24"/>
          <w:rtl/>
        </w:rPr>
        <w:t xml:space="preserve"> עילת תביעה בעשיית עושר אף אם לא הופרה כל זכות קניין רוחני ספציפית. </w:t>
      </w:r>
    </w:p>
    <w:p w14:paraId="511EDF91" w14:textId="77777777" w:rsidR="00205D92" w:rsidRPr="005F3228" w:rsidRDefault="00205D92" w:rsidP="009C43BA">
      <w:pPr>
        <w:spacing w:after="120" w:line="300" w:lineRule="exact"/>
        <w:jc w:val="both"/>
        <w:rPr>
          <w:rFonts w:ascii="David" w:hAnsi="David" w:cs="David"/>
          <w:sz w:val="24"/>
          <w:szCs w:val="24"/>
          <w:rtl/>
        </w:rPr>
      </w:pPr>
      <w:r w:rsidRPr="005F3228">
        <w:rPr>
          <w:rFonts w:ascii="David" w:hAnsi="David" w:cs="David"/>
          <w:sz w:val="24"/>
          <w:szCs w:val="24"/>
          <w:rtl/>
        </w:rPr>
        <w:t>פסק הדין ניתן ברוב של חמישה שופטים, וכלל דעת מיעוט של שני שופטים.</w:t>
      </w:r>
      <w:r w:rsidR="000C46C2" w:rsidRPr="005F3228">
        <w:rPr>
          <w:rStyle w:val="FootnoteReference"/>
          <w:rFonts w:ascii="David" w:hAnsi="David" w:cs="David"/>
          <w:sz w:val="24"/>
          <w:szCs w:val="24"/>
          <w:rtl/>
        </w:rPr>
        <w:footnoteReference w:id="4"/>
      </w:r>
      <w:r w:rsidRPr="005F3228">
        <w:rPr>
          <w:rFonts w:ascii="David" w:hAnsi="David" w:cs="David"/>
          <w:sz w:val="24"/>
          <w:szCs w:val="24"/>
          <w:rtl/>
        </w:rPr>
        <w:t xml:space="preserve"> דעות שופטי הרוב נומקו באריכות ובאופנים שונים, </w:t>
      </w:r>
      <w:r w:rsidR="005601AF" w:rsidRPr="005F3228">
        <w:rPr>
          <w:rFonts w:ascii="David" w:hAnsi="David" w:cs="David" w:hint="cs"/>
          <w:sz w:val="24"/>
          <w:szCs w:val="24"/>
          <w:rtl/>
        </w:rPr>
        <w:t xml:space="preserve">אולם </w:t>
      </w:r>
      <w:r w:rsidRPr="005F3228">
        <w:rPr>
          <w:rFonts w:ascii="David" w:hAnsi="David" w:cs="David"/>
          <w:sz w:val="24"/>
          <w:szCs w:val="24"/>
          <w:rtl/>
        </w:rPr>
        <w:t xml:space="preserve">אחד הנימוקים המרכזיים שעמדו ביסוד ההכרעה היה הצורך בכלי יעיל לפיתוח דינאמי של המשפט בתחום הקניין הרוחני </w:t>
      </w:r>
      <w:r w:rsidR="009C43BA" w:rsidRPr="005F3228">
        <w:rPr>
          <w:rFonts w:ascii="David" w:hAnsi="David" w:cs="David"/>
          <w:sz w:val="24"/>
          <w:szCs w:val="24"/>
          <w:rtl/>
        </w:rPr>
        <w:t>ו</w:t>
      </w:r>
      <w:r w:rsidR="009C43BA" w:rsidRPr="005F3228">
        <w:rPr>
          <w:rFonts w:ascii="David" w:hAnsi="David" w:cs="David" w:hint="cs"/>
          <w:sz w:val="24"/>
          <w:szCs w:val="24"/>
          <w:rtl/>
        </w:rPr>
        <w:t>ב</w:t>
      </w:r>
      <w:r w:rsidR="009C43BA" w:rsidRPr="005F3228">
        <w:rPr>
          <w:rFonts w:ascii="David" w:hAnsi="David" w:cs="David"/>
          <w:sz w:val="24"/>
          <w:szCs w:val="24"/>
          <w:rtl/>
        </w:rPr>
        <w:t xml:space="preserve">שמירה </w:t>
      </w:r>
      <w:r w:rsidRPr="005F3228">
        <w:rPr>
          <w:rFonts w:ascii="David" w:hAnsi="David" w:cs="David"/>
          <w:sz w:val="24"/>
          <w:szCs w:val="24"/>
          <w:rtl/>
        </w:rPr>
        <w:t xml:space="preserve">על גמישות, מקום בו דיני הקניין הרוחני הספציפיים כוללים הסדרים נוקשים, חלקם ישנים, </w:t>
      </w:r>
      <w:r w:rsidR="00210645" w:rsidRPr="005F3228">
        <w:rPr>
          <w:rFonts w:ascii="David" w:hAnsi="David" w:cs="David"/>
          <w:sz w:val="24"/>
          <w:szCs w:val="24"/>
          <w:rtl/>
        </w:rPr>
        <w:t>ו</w:t>
      </w:r>
      <w:r w:rsidRPr="005F3228">
        <w:rPr>
          <w:rFonts w:ascii="David" w:hAnsi="David" w:cs="David"/>
          <w:sz w:val="24"/>
          <w:szCs w:val="24"/>
          <w:rtl/>
        </w:rPr>
        <w:t>אינם מתחדשים בקצב בו מתפתחת הקדמה הטכנולוגית. נימוק מרכזי נוסף היה כי בהחלתם של דיני עשיית עושר לצד דיני הקניין הרוחני אין משום "התערבות" בדיני הקניין הרוחני עצמם, שכן עילת התביעה מכוח דיני עשיית עושר כלל אינה שקולה לעילה קניינית, בהיותה מותנית בשיקול דעת נרחב של בית המשפט, ובשל רמת ההגנה הפחותה אותה היא מקנה לבעל התוצר הרוחני. יחד עם זאת, גם על פי שופטי הרוב, לא בכל מקרה של חיקוי או העתקה תקום עילה בעשיית עושר, אלא הצלחת התביעה בעשיית עושר מותנית בהתקיימות של "יסוד נוסף" ה</w:t>
      </w:r>
      <w:r w:rsidR="005601AF" w:rsidRPr="005F3228">
        <w:rPr>
          <w:rFonts w:ascii="David" w:hAnsi="David" w:cs="David" w:hint="cs"/>
          <w:sz w:val="24"/>
          <w:szCs w:val="24"/>
          <w:rtl/>
        </w:rPr>
        <w:t>נ</w:t>
      </w:r>
      <w:r w:rsidRPr="005F3228">
        <w:rPr>
          <w:rFonts w:ascii="David" w:hAnsi="David" w:cs="David"/>
          <w:sz w:val="24"/>
          <w:szCs w:val="24"/>
          <w:rtl/>
        </w:rPr>
        <w:t xml:space="preserve">לווה לחיקוי או להעתקה של התוצר הרוחני. </w:t>
      </w:r>
    </w:p>
    <w:p w14:paraId="28739CB0" w14:textId="77777777" w:rsidR="00205D92" w:rsidRPr="005F3228" w:rsidRDefault="0089604A" w:rsidP="009C43BA">
      <w:pPr>
        <w:spacing w:after="120" w:line="300" w:lineRule="exact"/>
        <w:jc w:val="both"/>
        <w:rPr>
          <w:rFonts w:ascii="David" w:hAnsi="David" w:cs="David"/>
          <w:sz w:val="24"/>
          <w:szCs w:val="24"/>
          <w:rtl/>
        </w:rPr>
      </w:pPr>
      <w:r w:rsidRPr="005F3228">
        <w:rPr>
          <w:rFonts w:ascii="David" w:hAnsi="David" w:cs="David" w:hint="cs"/>
          <w:sz w:val="24"/>
          <w:szCs w:val="24"/>
          <w:rtl/>
        </w:rPr>
        <w:t>פסק הדין</w:t>
      </w:r>
      <w:r w:rsidRPr="005F3228">
        <w:rPr>
          <w:rFonts w:ascii="David" w:hAnsi="David" w:cs="David"/>
          <w:sz w:val="24"/>
          <w:szCs w:val="24"/>
          <w:rtl/>
        </w:rPr>
        <w:t xml:space="preserve"> תואר על ידי </w:t>
      </w:r>
      <w:r w:rsidRPr="005F3228">
        <w:rPr>
          <w:rFonts w:ascii="David" w:hAnsi="David" w:cs="David" w:hint="cs"/>
          <w:sz w:val="24"/>
          <w:szCs w:val="24"/>
          <w:rtl/>
        </w:rPr>
        <w:t>חוקרים</w:t>
      </w:r>
      <w:r w:rsidRPr="005F3228">
        <w:rPr>
          <w:rFonts w:ascii="David" w:hAnsi="David" w:cs="David"/>
          <w:sz w:val="24"/>
          <w:szCs w:val="24"/>
          <w:rtl/>
        </w:rPr>
        <w:t xml:space="preserve"> </w:t>
      </w:r>
      <w:r w:rsidRPr="005F3228">
        <w:rPr>
          <w:rFonts w:ascii="David" w:hAnsi="David" w:cs="David" w:hint="cs"/>
          <w:sz w:val="24"/>
          <w:szCs w:val="24"/>
          <w:rtl/>
        </w:rPr>
        <w:t>כמחולל "שינוי דרמטי"</w:t>
      </w:r>
      <w:r w:rsidRPr="005F3228">
        <w:rPr>
          <w:rFonts w:ascii="David" w:hAnsi="David" w:cs="David"/>
          <w:sz w:val="24"/>
          <w:szCs w:val="24"/>
          <w:rtl/>
        </w:rPr>
        <w:t xml:space="preserve"> </w:t>
      </w:r>
      <w:r w:rsidRPr="005F3228">
        <w:rPr>
          <w:rFonts w:ascii="David" w:hAnsi="David" w:cs="David" w:hint="cs"/>
          <w:sz w:val="24"/>
          <w:szCs w:val="24"/>
          <w:rtl/>
        </w:rPr>
        <w:t>בתחום הקניין הרוחני,</w:t>
      </w:r>
      <w:bookmarkStart w:id="5" w:name="_Ref28025711"/>
      <w:r w:rsidRPr="005F3228">
        <w:rPr>
          <w:rStyle w:val="FootnoteReference"/>
          <w:rFonts w:ascii="David" w:hAnsi="David" w:cs="David"/>
          <w:sz w:val="24"/>
          <w:szCs w:val="24"/>
          <w:rtl/>
        </w:rPr>
        <w:footnoteReference w:id="5"/>
      </w:r>
      <w:bookmarkEnd w:id="5"/>
      <w:r w:rsidRPr="005F3228">
        <w:rPr>
          <w:rFonts w:ascii="David" w:hAnsi="David" w:cs="David" w:hint="cs"/>
          <w:sz w:val="24"/>
          <w:szCs w:val="24"/>
          <w:rtl/>
        </w:rPr>
        <w:t xml:space="preserve"> </w:t>
      </w:r>
      <w:r w:rsidR="00205D92" w:rsidRPr="005F3228">
        <w:rPr>
          <w:rFonts w:ascii="David" w:hAnsi="David" w:cs="David"/>
          <w:sz w:val="24"/>
          <w:szCs w:val="24"/>
          <w:rtl/>
        </w:rPr>
        <w:t xml:space="preserve">ונמתחה </w:t>
      </w:r>
      <w:r w:rsidRPr="005F3228">
        <w:rPr>
          <w:rFonts w:ascii="David" w:hAnsi="David" w:cs="David" w:hint="cs"/>
          <w:sz w:val="24"/>
          <w:szCs w:val="24"/>
          <w:rtl/>
        </w:rPr>
        <w:t xml:space="preserve">עליו </w:t>
      </w:r>
      <w:r w:rsidR="00205D92" w:rsidRPr="005F3228">
        <w:rPr>
          <w:rFonts w:ascii="David" w:hAnsi="David" w:cs="David"/>
          <w:sz w:val="24"/>
          <w:szCs w:val="24"/>
          <w:rtl/>
        </w:rPr>
        <w:t xml:space="preserve">ביקורת רבה. </w:t>
      </w:r>
      <w:r w:rsidR="00911B0B" w:rsidRPr="005F3228">
        <w:rPr>
          <w:rFonts w:ascii="David" w:hAnsi="David" w:cs="David" w:hint="cs"/>
          <w:sz w:val="24"/>
          <w:szCs w:val="24"/>
          <w:rtl/>
        </w:rPr>
        <w:t>עיקר הביקורת עסקה בחשש</w:t>
      </w:r>
      <w:r w:rsidR="00205D92" w:rsidRPr="005F3228">
        <w:rPr>
          <w:rFonts w:ascii="David" w:hAnsi="David" w:cs="David"/>
          <w:sz w:val="24"/>
          <w:szCs w:val="24"/>
          <w:rtl/>
        </w:rPr>
        <w:t xml:space="preserve"> </w:t>
      </w:r>
      <w:r w:rsidRPr="005F3228">
        <w:rPr>
          <w:rFonts w:ascii="David" w:hAnsi="David" w:cs="David" w:hint="cs"/>
          <w:sz w:val="24"/>
          <w:szCs w:val="24"/>
          <w:rtl/>
        </w:rPr>
        <w:t xml:space="preserve">שפסק הדין יביא </w:t>
      </w:r>
      <w:r w:rsidR="00205D92" w:rsidRPr="005F3228">
        <w:rPr>
          <w:rFonts w:ascii="David" w:hAnsi="David" w:cs="David"/>
          <w:sz w:val="24"/>
          <w:szCs w:val="24"/>
          <w:rtl/>
        </w:rPr>
        <w:t xml:space="preserve">לפריצת גבולות של דיני הקניין הרוחני, </w:t>
      </w:r>
      <w:r w:rsidRPr="005F3228">
        <w:rPr>
          <w:rFonts w:ascii="David" w:hAnsi="David" w:cs="David" w:hint="cs"/>
          <w:sz w:val="24"/>
          <w:szCs w:val="24"/>
          <w:rtl/>
        </w:rPr>
        <w:t>באופן שי</w:t>
      </w:r>
      <w:r w:rsidR="00205D92" w:rsidRPr="005F3228">
        <w:rPr>
          <w:rFonts w:ascii="David" w:hAnsi="David" w:cs="David"/>
          <w:sz w:val="24"/>
          <w:szCs w:val="24"/>
          <w:rtl/>
        </w:rPr>
        <w:t>יצור אפקט מצנן בקרב משתמשים פוטנציאליים בתוצרים רוחניים. במילים אחרות, החשש שהובע על ידי המבקרים הוא יצירת הרתעה משימוש בתוצרים רוחניים, לרבות לצורך פיתוח תוצרים חדשים, כתוצאה מקיומו של מסלול חלופי להטלת אחריות משפטית על מעשים של חיקוי והעתקה. אפקט ההרתעה, לגישת המבקרים, גדול במיוחד, נוכח חוסר-הוודאות הכרוך בהפעלתם של הסטנדרטים העמומים הניצבים בבסיס העילה בעשיית עושר. נוסף על כך, פתיחת השערים לעילת תביעה אפשרית בעשיית עושר בנסיבות בהן דיני הקניין הרוחני "הממוסדים" אינם מכירים בזכותו של התובע, מצמצמת את נחלת הכלל, ומפרה את האיזונים הבסיסיים המגולמים בחקיקת הקניין הרוחני.</w:t>
      </w:r>
      <w:r w:rsidRPr="005F3228">
        <w:rPr>
          <w:rStyle w:val="FootnoteReference"/>
          <w:rFonts w:ascii="David" w:hAnsi="David" w:cs="David"/>
          <w:sz w:val="24"/>
          <w:szCs w:val="24"/>
          <w:rtl/>
        </w:rPr>
        <w:footnoteReference w:id="6"/>
      </w:r>
    </w:p>
    <w:p w14:paraId="764ECBB3" w14:textId="77777777" w:rsidR="00205D92" w:rsidRPr="005F3228" w:rsidRDefault="00205D92" w:rsidP="009C43BA">
      <w:pPr>
        <w:spacing w:after="120" w:line="300" w:lineRule="exact"/>
        <w:jc w:val="both"/>
        <w:rPr>
          <w:rFonts w:ascii="David" w:hAnsi="David" w:cs="David"/>
          <w:sz w:val="24"/>
          <w:szCs w:val="24"/>
          <w:rtl/>
        </w:rPr>
      </w:pPr>
      <w:r w:rsidRPr="005F3228">
        <w:rPr>
          <w:rFonts w:ascii="David" w:hAnsi="David" w:cs="David"/>
          <w:sz w:val="24"/>
          <w:szCs w:val="24"/>
          <w:rtl/>
        </w:rPr>
        <w:t>מאז מתן פסק הדין התקבל תיקון חקיקה בחוק העיצובים, שצמצם את תחולת ההלכה בהקשר הספציפי של עיצוב תעשייתי.</w:t>
      </w:r>
      <w:r w:rsidR="00BF4A41" w:rsidRPr="005F3228">
        <w:rPr>
          <w:rStyle w:val="FootnoteReference"/>
          <w:rFonts w:ascii="David" w:hAnsi="David" w:cs="David"/>
          <w:sz w:val="24"/>
          <w:szCs w:val="24"/>
          <w:rtl/>
        </w:rPr>
        <w:footnoteReference w:id="7"/>
      </w:r>
      <w:r w:rsidRPr="005F3228">
        <w:rPr>
          <w:rFonts w:ascii="David" w:hAnsi="David" w:cs="David"/>
          <w:sz w:val="24"/>
          <w:szCs w:val="24"/>
          <w:rtl/>
        </w:rPr>
        <w:t xml:space="preserve"> תיקון דומה הוצע גם בהקשר לחוק הפטנטים.</w:t>
      </w:r>
      <w:bookmarkStart w:id="6" w:name="_Ref39060873"/>
      <w:r w:rsidR="004C2598" w:rsidRPr="005F3228">
        <w:rPr>
          <w:rStyle w:val="FootnoteReference"/>
          <w:rFonts w:ascii="David" w:hAnsi="David" w:cs="David"/>
          <w:sz w:val="24"/>
          <w:szCs w:val="24"/>
          <w:rtl/>
        </w:rPr>
        <w:footnoteReference w:id="8"/>
      </w:r>
      <w:bookmarkEnd w:id="6"/>
      <w:r w:rsidRPr="005F3228">
        <w:rPr>
          <w:rFonts w:ascii="David" w:hAnsi="David" w:cs="David"/>
          <w:sz w:val="24"/>
          <w:szCs w:val="24"/>
          <w:rtl/>
        </w:rPr>
        <w:t xml:space="preserve"> במקביל, נשמעות קריאות לביטול ההלכה כליל, לרבות במסגרת עמדת היועץ המשפטי לממשלה שהוגשה לאחרונה </w:t>
      </w:r>
      <w:r w:rsidRPr="005F3228">
        <w:rPr>
          <w:rFonts w:ascii="David" w:hAnsi="David" w:cs="David"/>
          <w:sz w:val="24"/>
          <w:szCs w:val="24"/>
          <w:rtl/>
        </w:rPr>
        <w:lastRenderedPageBreak/>
        <w:t xml:space="preserve">לבית המשפט העליון בפרשת </w:t>
      </w:r>
      <w:r w:rsidRPr="005F3228">
        <w:rPr>
          <w:rFonts w:ascii="David" w:hAnsi="David" w:cs="David"/>
          <w:b/>
          <w:bCs/>
          <w:sz w:val="24"/>
          <w:szCs w:val="24"/>
        </w:rPr>
        <w:t>Fisher Price</w:t>
      </w:r>
      <w:r w:rsidRPr="005F3228">
        <w:rPr>
          <w:rFonts w:ascii="David" w:hAnsi="David" w:cs="David"/>
          <w:sz w:val="24"/>
          <w:szCs w:val="24"/>
          <w:rtl/>
        </w:rPr>
        <w:t>.</w:t>
      </w:r>
      <w:bookmarkStart w:id="7" w:name="_Ref27910752"/>
      <w:r w:rsidRPr="005F3228">
        <w:rPr>
          <w:rStyle w:val="FootnoteReference"/>
          <w:rFonts w:ascii="David" w:hAnsi="David" w:cs="David"/>
          <w:sz w:val="24"/>
          <w:szCs w:val="24"/>
          <w:rtl/>
        </w:rPr>
        <w:footnoteReference w:id="9"/>
      </w:r>
      <w:bookmarkEnd w:id="7"/>
      <w:r w:rsidRPr="005F3228">
        <w:rPr>
          <w:rFonts w:ascii="David" w:hAnsi="David" w:cs="David"/>
          <w:sz w:val="24"/>
          <w:szCs w:val="24"/>
          <w:rtl/>
        </w:rPr>
        <w:t xml:space="preserve"> באותו מקרה קבע בית המשפט העליון כי בנסיבות העניין הספציפי, אין מקום למתן סעד מכוח חוק עשיית עושר, אך השאיר </w:t>
      </w:r>
      <w:proofErr w:type="spellStart"/>
      <w:r w:rsidRPr="005F3228">
        <w:rPr>
          <w:rFonts w:ascii="David" w:hAnsi="David" w:cs="David"/>
          <w:sz w:val="24"/>
          <w:szCs w:val="24"/>
          <w:rtl/>
        </w:rPr>
        <w:t>בצריך</w:t>
      </w:r>
      <w:proofErr w:type="spellEnd"/>
      <w:r w:rsidRPr="005F3228">
        <w:rPr>
          <w:rFonts w:ascii="David" w:hAnsi="David" w:cs="David"/>
          <w:sz w:val="24"/>
          <w:szCs w:val="24"/>
          <w:rtl/>
        </w:rPr>
        <w:t xml:space="preserve"> עיון את ההתייחסות העקרונית להלכת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00911B0B" w:rsidRPr="005F3228">
        <w:rPr>
          <w:rStyle w:val="FootnoteReference"/>
          <w:rFonts w:ascii="David" w:hAnsi="David" w:cs="David"/>
          <w:sz w:val="24"/>
          <w:szCs w:val="24"/>
          <w:rtl/>
        </w:rPr>
        <w:footnoteReference w:id="10"/>
      </w:r>
    </w:p>
    <w:p w14:paraId="47E981F8" w14:textId="77777777" w:rsidR="00205D92" w:rsidRPr="005F3228" w:rsidRDefault="00205D92" w:rsidP="00F25007">
      <w:pPr>
        <w:tabs>
          <w:tab w:val="right" w:pos="504"/>
        </w:tabs>
        <w:spacing w:after="120" w:line="300" w:lineRule="exact"/>
        <w:jc w:val="both"/>
        <w:rPr>
          <w:rFonts w:ascii="David" w:hAnsi="David" w:cs="David"/>
          <w:sz w:val="24"/>
          <w:szCs w:val="24"/>
          <w:rtl/>
        </w:rPr>
      </w:pPr>
      <w:r w:rsidRPr="005F3228">
        <w:rPr>
          <w:rFonts w:ascii="David" w:hAnsi="David" w:cs="David"/>
          <w:sz w:val="24"/>
          <w:szCs w:val="24"/>
          <w:rtl/>
        </w:rPr>
        <w:t xml:space="preserve">הוויכוח אודות השפעתה, ועתידה, של הלכת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Pr="005F3228">
        <w:rPr>
          <w:rFonts w:ascii="David" w:hAnsi="David" w:cs="David"/>
          <w:sz w:val="24"/>
          <w:szCs w:val="24"/>
          <w:rtl/>
        </w:rPr>
        <w:t xml:space="preserve"> התבסס עד היום על טיעונים תיאורטיים וסימוכין </w:t>
      </w:r>
      <w:proofErr w:type="spellStart"/>
      <w:r w:rsidRPr="005F3228">
        <w:rPr>
          <w:rFonts w:ascii="David" w:hAnsi="David" w:cs="David"/>
          <w:sz w:val="24"/>
          <w:szCs w:val="24"/>
          <w:rtl/>
        </w:rPr>
        <w:t>אנקד</w:t>
      </w:r>
      <w:r w:rsidR="005E42B2" w:rsidRPr="005F3228">
        <w:rPr>
          <w:rFonts w:ascii="David" w:hAnsi="David" w:cs="David" w:hint="cs"/>
          <w:sz w:val="24"/>
          <w:szCs w:val="24"/>
          <w:rtl/>
        </w:rPr>
        <w:t>ו</w:t>
      </w:r>
      <w:r w:rsidRPr="005F3228">
        <w:rPr>
          <w:rFonts w:ascii="David" w:hAnsi="David" w:cs="David"/>
          <w:sz w:val="24"/>
          <w:szCs w:val="24"/>
          <w:rtl/>
        </w:rPr>
        <w:t>טליים</w:t>
      </w:r>
      <w:proofErr w:type="spellEnd"/>
      <w:r w:rsidRPr="005F3228">
        <w:rPr>
          <w:rFonts w:ascii="David" w:hAnsi="David" w:cs="David"/>
          <w:sz w:val="24"/>
          <w:szCs w:val="24"/>
          <w:rtl/>
        </w:rPr>
        <w:t xml:space="preserve">. בחלוף עשרים שנה ממתן פסק הדין סברנו כי הצטברה תשתית של פסיקה, המאפשרת להעריך באופן אמפירי את השפעת פסק הדין על תחום הקניין הרוחני. השאלה המרכזית אותה מבקש המחקר לברר היא אם הלכת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Pr="005F3228">
        <w:rPr>
          <w:rFonts w:ascii="David" w:hAnsi="David" w:cs="David"/>
          <w:sz w:val="24"/>
          <w:szCs w:val="24"/>
          <w:rtl/>
        </w:rPr>
        <w:t xml:space="preserve"> הובילה אכן לחוסר וודאות משמעותי ופריצת גבולות של דיני הקניין הרוחני, ברוח החששות שהביעו המבקרים, או שמא בתי המשפט עושים בה שימוש זהיר כמכשיר ל"כיול" הדין ולמילוי חוסרים, בהקשרים </w:t>
      </w:r>
      <w:r w:rsidR="00331ABB" w:rsidRPr="005F3228">
        <w:rPr>
          <w:rFonts w:ascii="David" w:hAnsi="David" w:cs="David" w:hint="eastAsia"/>
          <w:sz w:val="24"/>
          <w:szCs w:val="24"/>
          <w:rtl/>
        </w:rPr>
        <w:t>מצומצמים</w:t>
      </w:r>
      <w:r w:rsidR="00331ABB" w:rsidRPr="005F3228">
        <w:rPr>
          <w:rFonts w:ascii="David" w:hAnsi="David" w:cs="David"/>
          <w:sz w:val="24"/>
          <w:szCs w:val="24"/>
          <w:rtl/>
        </w:rPr>
        <w:t xml:space="preserve"> </w:t>
      </w:r>
      <w:r w:rsidRPr="005F3228">
        <w:rPr>
          <w:rFonts w:ascii="David" w:hAnsi="David" w:cs="David"/>
          <w:sz w:val="24"/>
          <w:szCs w:val="24"/>
          <w:rtl/>
        </w:rPr>
        <w:t xml:space="preserve">בהם גמישות כזאת </w:t>
      </w:r>
      <w:r w:rsidR="00F25007" w:rsidRPr="005F3228">
        <w:rPr>
          <w:rFonts w:ascii="David" w:hAnsi="David" w:cs="David" w:hint="cs"/>
          <w:sz w:val="24"/>
          <w:szCs w:val="24"/>
          <w:rtl/>
        </w:rPr>
        <w:t>נדרשת</w:t>
      </w:r>
      <w:r w:rsidRPr="005F3228">
        <w:rPr>
          <w:rFonts w:ascii="David" w:hAnsi="David" w:cs="David"/>
          <w:sz w:val="24"/>
          <w:szCs w:val="24"/>
          <w:rtl/>
        </w:rPr>
        <w:t>, ברוח ההנמקות של שופטי הרוב.</w:t>
      </w:r>
    </w:p>
    <w:p w14:paraId="642BEF51" w14:textId="77777777" w:rsidR="00205D92" w:rsidRPr="005F3228" w:rsidRDefault="00205D92" w:rsidP="00B71C43">
      <w:pPr>
        <w:tabs>
          <w:tab w:val="right" w:pos="504"/>
        </w:tabs>
        <w:spacing w:line="300" w:lineRule="exact"/>
        <w:jc w:val="both"/>
        <w:rPr>
          <w:rFonts w:ascii="David" w:hAnsi="David" w:cs="David"/>
          <w:b/>
          <w:bCs/>
          <w:sz w:val="24"/>
          <w:szCs w:val="24"/>
          <w:rtl/>
        </w:rPr>
      </w:pPr>
      <w:r w:rsidRPr="005F3228">
        <w:rPr>
          <w:rFonts w:ascii="David" w:hAnsi="David" w:cs="David"/>
          <w:sz w:val="24"/>
          <w:szCs w:val="24"/>
          <w:rtl/>
        </w:rPr>
        <w:t xml:space="preserve">לשם בירור שאלה זו, ערכנו בחינה </w:t>
      </w:r>
      <w:r w:rsidR="00105CAE" w:rsidRPr="005F3228">
        <w:rPr>
          <w:rFonts w:ascii="David" w:hAnsi="David" w:cs="David" w:hint="cs"/>
          <w:sz w:val="24"/>
          <w:szCs w:val="24"/>
          <w:rtl/>
        </w:rPr>
        <w:t>אמפירית</w:t>
      </w:r>
      <w:r w:rsidRPr="005F3228">
        <w:rPr>
          <w:rFonts w:ascii="David" w:hAnsi="David" w:cs="David"/>
          <w:sz w:val="24"/>
          <w:szCs w:val="24"/>
          <w:rtl/>
        </w:rPr>
        <w:t xml:space="preserve"> של כל פסקי</w:t>
      </w:r>
      <w:r w:rsidR="006F5C6E" w:rsidRPr="005F3228">
        <w:rPr>
          <w:rFonts w:ascii="David" w:hAnsi="David" w:cs="David"/>
          <w:sz w:val="24"/>
          <w:szCs w:val="24"/>
          <w:rtl/>
        </w:rPr>
        <w:t xml:space="preserve"> </w:t>
      </w:r>
      <w:r w:rsidRPr="005F3228">
        <w:rPr>
          <w:rFonts w:ascii="David" w:hAnsi="David" w:cs="David"/>
          <w:sz w:val="24"/>
          <w:szCs w:val="24"/>
          <w:rtl/>
        </w:rPr>
        <w:t xml:space="preserve">הדין </w:t>
      </w:r>
      <w:r w:rsidR="006F5C6E" w:rsidRPr="005F3228">
        <w:rPr>
          <w:rFonts w:ascii="David" w:hAnsi="David" w:cs="David"/>
          <w:sz w:val="24"/>
          <w:szCs w:val="24"/>
          <w:rtl/>
        </w:rPr>
        <w:t xml:space="preserve">וההחלטות </w:t>
      </w:r>
      <w:r w:rsidR="00A8014C" w:rsidRPr="005F3228">
        <w:rPr>
          <w:rFonts w:ascii="David" w:hAnsi="David" w:cs="David" w:hint="cs"/>
          <w:sz w:val="24"/>
          <w:szCs w:val="24"/>
          <w:rtl/>
        </w:rPr>
        <w:t xml:space="preserve">בצווי מניעה זמניים </w:t>
      </w:r>
      <w:r w:rsidRPr="005F3228">
        <w:rPr>
          <w:rFonts w:ascii="David" w:hAnsi="David" w:cs="David"/>
          <w:sz w:val="24"/>
          <w:szCs w:val="24"/>
          <w:rtl/>
        </w:rPr>
        <w:t xml:space="preserve">שניתנו בבתי המשפט המחוזיים ובבית המשפט העליון בישראל בתקופה שמאז מתן פסק הדין בעניין </w:t>
      </w:r>
      <w:proofErr w:type="spellStart"/>
      <w:r w:rsidRPr="005F3228">
        <w:rPr>
          <w:rFonts w:ascii="David" w:hAnsi="David" w:cs="David"/>
          <w:sz w:val="24"/>
          <w:szCs w:val="24"/>
          <w:rtl/>
        </w:rPr>
        <w:t>א.ש.י.ר</w:t>
      </w:r>
      <w:proofErr w:type="spellEnd"/>
      <w:r w:rsidR="00675648" w:rsidRPr="005F3228">
        <w:rPr>
          <w:rFonts w:ascii="David" w:hAnsi="David" w:cs="David"/>
          <w:sz w:val="24"/>
          <w:szCs w:val="24"/>
          <w:rtl/>
        </w:rPr>
        <w:t>.</w:t>
      </w:r>
      <w:r w:rsidRPr="005F3228">
        <w:rPr>
          <w:rFonts w:ascii="David" w:hAnsi="David" w:cs="David"/>
          <w:sz w:val="24"/>
          <w:szCs w:val="24"/>
          <w:rtl/>
        </w:rPr>
        <w:t xml:space="preserve">, </w:t>
      </w:r>
      <w:r w:rsidR="00352EA8" w:rsidRPr="005F3228">
        <w:rPr>
          <w:rFonts w:ascii="David" w:hAnsi="David" w:cs="David"/>
          <w:sz w:val="24"/>
          <w:szCs w:val="24"/>
          <w:rtl/>
        </w:rPr>
        <w:t>ב</w:t>
      </w:r>
      <w:r w:rsidRPr="005F3228">
        <w:rPr>
          <w:rFonts w:ascii="David" w:hAnsi="David" w:cs="David"/>
          <w:sz w:val="24"/>
          <w:szCs w:val="24"/>
          <w:rtl/>
        </w:rPr>
        <w:t>-23 לספטמבר, 1998</w:t>
      </w:r>
      <w:r w:rsidR="00352EA8" w:rsidRPr="005F3228">
        <w:rPr>
          <w:rFonts w:ascii="David" w:hAnsi="David" w:cs="David"/>
          <w:sz w:val="24"/>
          <w:szCs w:val="24"/>
          <w:rtl/>
        </w:rPr>
        <w:t>,</w:t>
      </w:r>
      <w:r w:rsidRPr="005F3228">
        <w:rPr>
          <w:rFonts w:ascii="David" w:hAnsi="David" w:cs="David"/>
          <w:sz w:val="24"/>
          <w:szCs w:val="24"/>
          <w:rtl/>
        </w:rPr>
        <w:t xml:space="preserve"> ועד ל-31 בדצמבר, 2018, בתביעות בגין תוצר רוחני כלשהו (המצאה, יצירה, עיצוב וכו'), אשר נכללה בהן טענה לעשיית עושר ולא במשפט</w:t>
      </w:r>
      <w:r w:rsidR="005E42B2" w:rsidRPr="005F3228">
        <w:rPr>
          <w:rFonts w:ascii="David" w:hAnsi="David" w:cs="David" w:hint="cs"/>
          <w:sz w:val="24"/>
          <w:szCs w:val="24"/>
          <w:rtl/>
        </w:rPr>
        <w:t>.</w:t>
      </w:r>
      <w:r w:rsidRPr="005F3228">
        <w:rPr>
          <w:rFonts w:ascii="David" w:hAnsi="David" w:cs="David"/>
          <w:sz w:val="24"/>
          <w:szCs w:val="24"/>
          <w:rtl/>
        </w:rPr>
        <w:t xml:space="preserve"> בסך </w:t>
      </w:r>
      <w:proofErr w:type="spellStart"/>
      <w:r w:rsidRPr="005F3228">
        <w:rPr>
          <w:rFonts w:ascii="David" w:hAnsi="David" w:cs="David"/>
          <w:sz w:val="24"/>
          <w:szCs w:val="24"/>
          <w:rtl/>
        </w:rPr>
        <w:t>הכל</w:t>
      </w:r>
      <w:proofErr w:type="spellEnd"/>
      <w:r w:rsidRPr="005F3228">
        <w:rPr>
          <w:rFonts w:ascii="David" w:hAnsi="David" w:cs="David"/>
          <w:sz w:val="24"/>
          <w:szCs w:val="24"/>
          <w:rtl/>
        </w:rPr>
        <w:t xml:space="preserve"> </w:t>
      </w:r>
      <w:r w:rsidR="005E42B2" w:rsidRPr="005F3228">
        <w:rPr>
          <w:rFonts w:ascii="David" w:hAnsi="David" w:cs="David" w:hint="cs"/>
          <w:sz w:val="24"/>
          <w:szCs w:val="24"/>
          <w:rtl/>
        </w:rPr>
        <w:t xml:space="preserve">כללה הבדיקה </w:t>
      </w:r>
      <w:r w:rsidR="00C006BD" w:rsidRPr="005F3228">
        <w:rPr>
          <w:rFonts w:ascii="David" w:hAnsi="David" w:cs="David" w:hint="cs"/>
          <w:sz w:val="24"/>
          <w:szCs w:val="24"/>
          <w:rtl/>
        </w:rPr>
        <w:t>430</w:t>
      </w:r>
      <w:r w:rsidR="00C006BD" w:rsidRPr="005F3228">
        <w:rPr>
          <w:rFonts w:ascii="David" w:hAnsi="David" w:cs="David"/>
          <w:sz w:val="24"/>
          <w:szCs w:val="24"/>
          <w:rtl/>
        </w:rPr>
        <w:t xml:space="preserve"> </w:t>
      </w:r>
      <w:r w:rsidRPr="005F3228">
        <w:rPr>
          <w:rFonts w:ascii="David" w:hAnsi="David" w:cs="David"/>
          <w:sz w:val="24"/>
          <w:szCs w:val="24"/>
          <w:rtl/>
        </w:rPr>
        <w:t>פסקי דין</w:t>
      </w:r>
      <w:r w:rsidR="006F5C6E" w:rsidRPr="005F3228">
        <w:rPr>
          <w:rFonts w:ascii="David" w:hAnsi="David" w:cs="David"/>
          <w:sz w:val="24"/>
          <w:szCs w:val="24"/>
          <w:rtl/>
        </w:rPr>
        <w:t xml:space="preserve"> והחלטות</w:t>
      </w:r>
      <w:r w:rsidRPr="005F3228">
        <w:rPr>
          <w:rFonts w:ascii="David" w:hAnsi="David" w:cs="David"/>
          <w:sz w:val="24"/>
          <w:szCs w:val="24"/>
          <w:rtl/>
        </w:rPr>
        <w:t>.</w:t>
      </w:r>
      <w:r w:rsidRPr="005F3228">
        <w:rPr>
          <w:rStyle w:val="FootnoteReference"/>
          <w:rFonts w:ascii="David" w:hAnsi="David" w:cs="David"/>
          <w:sz w:val="24"/>
          <w:szCs w:val="24"/>
          <w:rtl/>
        </w:rPr>
        <w:footnoteReference w:id="11"/>
      </w:r>
      <w:r w:rsidRPr="005F3228">
        <w:rPr>
          <w:rFonts w:ascii="David" w:hAnsi="David" w:cs="David"/>
          <w:sz w:val="24"/>
          <w:szCs w:val="24"/>
          <w:rtl/>
        </w:rPr>
        <w:t xml:space="preserve"> </w:t>
      </w:r>
    </w:p>
    <w:p w14:paraId="0488E9AB" w14:textId="77777777" w:rsidR="00205D92" w:rsidRPr="005F3228" w:rsidRDefault="00105CAE" w:rsidP="009C43BA">
      <w:pPr>
        <w:tabs>
          <w:tab w:val="right" w:pos="504"/>
        </w:tabs>
        <w:spacing w:line="300" w:lineRule="exact"/>
        <w:jc w:val="both"/>
        <w:rPr>
          <w:rFonts w:ascii="David" w:hAnsi="David" w:cs="David"/>
          <w:sz w:val="24"/>
          <w:szCs w:val="24"/>
          <w:rtl/>
        </w:rPr>
      </w:pPr>
      <w:r w:rsidRPr="005F3228">
        <w:rPr>
          <w:rFonts w:ascii="David" w:hAnsi="David" w:cs="David" w:hint="cs"/>
          <w:sz w:val="24"/>
          <w:szCs w:val="24"/>
          <w:rtl/>
        </w:rPr>
        <w:t>את הבדיקה חילקנו לשני שלבים.</w:t>
      </w:r>
      <w:r w:rsidRPr="005F3228">
        <w:rPr>
          <w:rFonts w:ascii="David" w:hAnsi="David" w:cs="David" w:hint="cs"/>
          <w:b/>
          <w:bCs/>
          <w:sz w:val="24"/>
          <w:szCs w:val="24"/>
          <w:rtl/>
        </w:rPr>
        <w:t xml:space="preserve"> </w:t>
      </w:r>
      <w:r w:rsidR="00205D92" w:rsidRPr="005F3228">
        <w:rPr>
          <w:rFonts w:ascii="David" w:hAnsi="David" w:cs="David"/>
          <w:b/>
          <w:bCs/>
          <w:sz w:val="24"/>
          <w:szCs w:val="24"/>
          <w:rtl/>
        </w:rPr>
        <w:t>בשלב הראשון</w:t>
      </w:r>
      <w:r w:rsidR="00205D92" w:rsidRPr="005F3228">
        <w:rPr>
          <w:rFonts w:ascii="David" w:hAnsi="David" w:cs="David"/>
          <w:sz w:val="24"/>
          <w:szCs w:val="24"/>
          <w:rtl/>
        </w:rPr>
        <w:t>,</w:t>
      </w:r>
      <w:r w:rsidR="00205D92" w:rsidRPr="005F3228">
        <w:rPr>
          <w:rFonts w:ascii="David" w:hAnsi="David" w:cs="David"/>
          <w:b/>
          <w:bCs/>
          <w:sz w:val="24"/>
          <w:szCs w:val="24"/>
          <w:rtl/>
        </w:rPr>
        <w:t xml:space="preserve"> </w:t>
      </w:r>
      <w:r w:rsidR="00205D92" w:rsidRPr="005F3228">
        <w:rPr>
          <w:rFonts w:ascii="David" w:hAnsi="David" w:cs="David"/>
          <w:sz w:val="24"/>
          <w:szCs w:val="24"/>
          <w:rtl/>
        </w:rPr>
        <w:t xml:space="preserve">מתוך מכלול </w:t>
      </w:r>
      <w:r w:rsidR="00A8014C" w:rsidRPr="005F3228">
        <w:rPr>
          <w:rFonts w:ascii="David" w:hAnsi="David" w:cs="David" w:hint="cs"/>
          <w:sz w:val="24"/>
          <w:szCs w:val="24"/>
          <w:rtl/>
        </w:rPr>
        <w:t>המקרים</w:t>
      </w:r>
      <w:r w:rsidR="00205D92" w:rsidRPr="005F3228">
        <w:rPr>
          <w:rFonts w:ascii="David" w:hAnsi="David" w:cs="David"/>
          <w:sz w:val="24"/>
          <w:szCs w:val="24"/>
          <w:rtl/>
        </w:rPr>
        <w:t xml:space="preserve"> האמורים, זיהינו את המקרים "דמויי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00205D92" w:rsidRPr="005F3228">
        <w:rPr>
          <w:rFonts w:ascii="David" w:hAnsi="David" w:cs="David"/>
          <w:sz w:val="24"/>
          <w:szCs w:val="24"/>
          <w:rtl/>
        </w:rPr>
        <w:t xml:space="preserve">", דהיינו מקרים שבהם </w:t>
      </w:r>
      <w:r w:rsidR="009C43BA" w:rsidRPr="005F3228">
        <w:rPr>
          <w:rFonts w:ascii="David" w:hAnsi="David" w:cs="David" w:hint="cs"/>
          <w:sz w:val="24"/>
          <w:szCs w:val="24"/>
          <w:rtl/>
        </w:rPr>
        <w:t xml:space="preserve">לא ניתן סעד </w:t>
      </w:r>
      <w:proofErr w:type="spellStart"/>
      <w:r w:rsidR="009C43BA" w:rsidRPr="005F3228">
        <w:rPr>
          <w:rFonts w:ascii="David" w:hAnsi="David" w:cs="David" w:hint="cs"/>
          <w:sz w:val="24"/>
          <w:szCs w:val="24"/>
          <w:rtl/>
        </w:rPr>
        <w:t>מכח</w:t>
      </w:r>
      <w:proofErr w:type="spellEnd"/>
      <w:r w:rsidR="009C43BA" w:rsidRPr="005F3228">
        <w:rPr>
          <w:rFonts w:ascii="David" w:hAnsi="David" w:cs="David" w:hint="cs"/>
          <w:sz w:val="24"/>
          <w:szCs w:val="24"/>
          <w:rtl/>
        </w:rPr>
        <w:t xml:space="preserve"> דיני הקניין הרוחני</w:t>
      </w:r>
      <w:r w:rsidR="00205D92" w:rsidRPr="005F3228">
        <w:rPr>
          <w:rFonts w:ascii="David" w:hAnsi="David" w:cs="David"/>
          <w:sz w:val="24"/>
          <w:szCs w:val="24"/>
          <w:rtl/>
        </w:rPr>
        <w:t xml:space="preserve">, אולם התקבלה תביעה בעשיית עושר ולא במשפט. לשם כך חילקנו את </w:t>
      </w:r>
      <w:r w:rsidR="00A8014C" w:rsidRPr="005F3228">
        <w:rPr>
          <w:rFonts w:ascii="David" w:hAnsi="David" w:cs="David" w:hint="cs"/>
          <w:sz w:val="24"/>
          <w:szCs w:val="24"/>
          <w:rtl/>
        </w:rPr>
        <w:t>המקרים</w:t>
      </w:r>
      <w:r w:rsidR="00205D92" w:rsidRPr="005F3228">
        <w:rPr>
          <w:rFonts w:ascii="David" w:hAnsi="David" w:cs="David"/>
          <w:sz w:val="24"/>
          <w:szCs w:val="24"/>
          <w:rtl/>
        </w:rPr>
        <w:t xml:space="preserve"> במאגר לארבע קטגוריות: 1) מקרים בהם התקבלו עילות תביעה הן מכוח </w:t>
      </w:r>
      <w:r w:rsidR="005E42B2" w:rsidRPr="005F3228">
        <w:rPr>
          <w:rFonts w:ascii="David" w:hAnsi="David" w:cs="David" w:hint="cs"/>
          <w:sz w:val="24"/>
          <w:szCs w:val="24"/>
          <w:rtl/>
        </w:rPr>
        <w:t xml:space="preserve">דיני </w:t>
      </w:r>
      <w:r w:rsidR="00205D92" w:rsidRPr="005F3228">
        <w:rPr>
          <w:rFonts w:ascii="David" w:hAnsi="David" w:cs="David"/>
          <w:sz w:val="24"/>
          <w:szCs w:val="24"/>
          <w:rtl/>
        </w:rPr>
        <w:t xml:space="preserve">הקניין הרוחני והן מכוח דיני עשיית עושר; 2) מקרים בהם לא התקבלה עילת תביעה בקניין רוחני ולא בעשיית עושר; 3) מקרים בהם התקבלה אך ורק תביעה בגין הפרת זכות קניין רוחני ו – 4) מקרים </w:t>
      </w:r>
      <w:r w:rsidR="005E42B2" w:rsidRPr="005F3228">
        <w:rPr>
          <w:rFonts w:ascii="David" w:hAnsi="David" w:cs="David" w:hint="cs"/>
          <w:sz w:val="24"/>
          <w:szCs w:val="24"/>
          <w:rtl/>
        </w:rPr>
        <w:t>"</w:t>
      </w:r>
      <w:r w:rsidR="00205D92" w:rsidRPr="005F3228">
        <w:rPr>
          <w:rFonts w:ascii="David" w:hAnsi="David" w:cs="David"/>
          <w:sz w:val="24"/>
          <w:szCs w:val="24"/>
          <w:rtl/>
        </w:rPr>
        <w:t xml:space="preserve">דמויי </w:t>
      </w:r>
      <w:proofErr w:type="spellStart"/>
      <w:r w:rsidR="00205D92" w:rsidRPr="005F3228">
        <w:rPr>
          <w:rFonts w:ascii="David" w:hAnsi="David" w:cs="David"/>
          <w:sz w:val="24"/>
          <w:szCs w:val="24"/>
          <w:rtl/>
        </w:rPr>
        <w:t>א.ש.י.ר</w:t>
      </w:r>
      <w:proofErr w:type="spellEnd"/>
      <w:r w:rsidR="00505EE1" w:rsidRPr="005F3228">
        <w:rPr>
          <w:rFonts w:ascii="David" w:hAnsi="David" w:cs="David"/>
          <w:sz w:val="24"/>
          <w:szCs w:val="24"/>
          <w:rtl/>
        </w:rPr>
        <w:t>.</w:t>
      </w:r>
      <w:r w:rsidR="005E42B2" w:rsidRPr="005F3228">
        <w:rPr>
          <w:rFonts w:ascii="David" w:hAnsi="David" w:cs="David" w:hint="cs"/>
          <w:sz w:val="24"/>
          <w:szCs w:val="24"/>
          <w:rtl/>
        </w:rPr>
        <w:t>"</w:t>
      </w:r>
      <w:r w:rsidR="00205D92" w:rsidRPr="005F3228">
        <w:rPr>
          <w:rFonts w:ascii="David" w:hAnsi="David" w:cs="David"/>
          <w:sz w:val="24"/>
          <w:szCs w:val="24"/>
          <w:rtl/>
        </w:rPr>
        <w:t xml:space="preserve">, דהיינו מקרים בהם התקבלה אך ורק תביעה בעשיית עושר. </w:t>
      </w:r>
    </w:p>
    <w:p w14:paraId="13790689" w14:textId="77777777" w:rsidR="000B5448" w:rsidRPr="005F3228" w:rsidRDefault="000B5448" w:rsidP="00E126B3">
      <w:pPr>
        <w:tabs>
          <w:tab w:val="right" w:pos="504"/>
        </w:tabs>
        <w:spacing w:line="300" w:lineRule="exact"/>
        <w:jc w:val="both"/>
        <w:rPr>
          <w:rFonts w:ascii="David" w:hAnsi="David" w:cs="David"/>
          <w:sz w:val="24"/>
          <w:szCs w:val="24"/>
          <w:rtl/>
        </w:rPr>
      </w:pPr>
      <w:r w:rsidRPr="005F3228">
        <w:rPr>
          <w:rFonts w:ascii="David" w:hAnsi="David" w:cs="David"/>
          <w:sz w:val="24"/>
          <w:szCs w:val="24"/>
          <w:rtl/>
        </w:rPr>
        <w:t xml:space="preserve">ממצא עיקרי העולה מן הניתוח הכמותי הוא כי מתוך סך כל המקרים בהם הועלתה טענת עשיית עושר בהקשר של הפרת זכויות בתוצרים רוחניים, מספר </w:t>
      </w:r>
      <w:r w:rsidR="00A8014C" w:rsidRPr="005F3228">
        <w:rPr>
          <w:rFonts w:ascii="David" w:hAnsi="David" w:cs="David" w:hint="cs"/>
          <w:sz w:val="24"/>
          <w:szCs w:val="24"/>
          <w:rtl/>
        </w:rPr>
        <w:t>המקרים</w:t>
      </w:r>
      <w:r w:rsidRPr="005F3228">
        <w:rPr>
          <w:rFonts w:ascii="David" w:hAnsi="David" w:cs="David"/>
          <w:sz w:val="24"/>
          <w:szCs w:val="24"/>
          <w:rtl/>
        </w:rPr>
        <w:t xml:space="preserve"> בהם התקבלה טענה זו, מבלי </w:t>
      </w:r>
      <w:r w:rsidR="00E126B3" w:rsidRPr="005F3228">
        <w:rPr>
          <w:rFonts w:ascii="David" w:hAnsi="David" w:cs="David" w:hint="cs"/>
          <w:sz w:val="24"/>
          <w:szCs w:val="24"/>
          <w:rtl/>
        </w:rPr>
        <w:t>שניתן סעד</w:t>
      </w:r>
      <w:r w:rsidRPr="005F3228">
        <w:rPr>
          <w:rFonts w:ascii="David" w:hAnsi="David" w:cs="David"/>
          <w:sz w:val="24"/>
          <w:szCs w:val="24"/>
          <w:rtl/>
        </w:rPr>
        <w:t xml:space="preserve"> על בסיס זכות קניין רוחני ספציפית, הוא קטן ועומד על </w:t>
      </w:r>
      <w:r w:rsidR="00EA08B8" w:rsidRPr="005F3228">
        <w:rPr>
          <w:rFonts w:ascii="David" w:hAnsi="David" w:cs="David" w:hint="cs"/>
          <w:sz w:val="24"/>
          <w:szCs w:val="24"/>
          <w:rtl/>
        </w:rPr>
        <w:t>2</w:t>
      </w:r>
      <w:r w:rsidR="009A4454" w:rsidRPr="005F3228">
        <w:rPr>
          <w:rFonts w:ascii="David" w:hAnsi="David" w:cs="David" w:hint="cs"/>
          <w:sz w:val="24"/>
          <w:szCs w:val="24"/>
          <w:rtl/>
        </w:rPr>
        <w:t>4</w:t>
      </w:r>
      <w:r w:rsidR="00F25007" w:rsidRPr="005F3228">
        <w:rPr>
          <w:rFonts w:ascii="David" w:hAnsi="David" w:cs="David" w:hint="cs"/>
          <w:sz w:val="24"/>
          <w:szCs w:val="24"/>
          <w:rtl/>
        </w:rPr>
        <w:t xml:space="preserve"> </w:t>
      </w:r>
      <w:r w:rsidRPr="005F3228">
        <w:rPr>
          <w:rFonts w:ascii="David" w:hAnsi="David" w:cs="David"/>
          <w:sz w:val="24"/>
          <w:szCs w:val="24"/>
          <w:rtl/>
        </w:rPr>
        <w:t xml:space="preserve">מקרים, שהם </w:t>
      </w:r>
      <w:r w:rsidR="00A61E53" w:rsidRPr="005F3228">
        <w:rPr>
          <w:rFonts w:ascii="David" w:hAnsi="David" w:cs="David" w:hint="cs"/>
          <w:sz w:val="24"/>
          <w:szCs w:val="24"/>
          <w:rtl/>
        </w:rPr>
        <w:t>פחות מ-6%</w:t>
      </w:r>
      <w:r w:rsidRPr="005F3228">
        <w:rPr>
          <w:rFonts w:ascii="David" w:hAnsi="David" w:cs="David"/>
          <w:sz w:val="24"/>
          <w:szCs w:val="24"/>
          <w:rtl/>
        </w:rPr>
        <w:t xml:space="preserve"> מכלל המקרים במאגר. </w:t>
      </w:r>
      <w:r w:rsidR="00105CAE" w:rsidRPr="005F3228">
        <w:rPr>
          <w:rFonts w:ascii="David" w:hAnsi="David" w:cs="David" w:hint="cs"/>
          <w:sz w:val="24"/>
          <w:szCs w:val="24"/>
          <w:rtl/>
        </w:rPr>
        <w:t>מנתונים</w:t>
      </w:r>
      <w:r w:rsidRPr="005F3228">
        <w:rPr>
          <w:rFonts w:ascii="David" w:hAnsi="David" w:cs="David"/>
          <w:sz w:val="24"/>
          <w:szCs w:val="24"/>
          <w:rtl/>
        </w:rPr>
        <w:t xml:space="preserve"> אלה עולה, כי אף שתובעים בגין הפרת זכויות בתוצרים רוחניים נוהגים להעלות טענות של "עשיית עושר" כעניין שבשגרה, בתי המשפט נוהגים ריסון ב</w:t>
      </w:r>
      <w:r w:rsidR="00296A0C" w:rsidRPr="005F3228">
        <w:rPr>
          <w:rFonts w:ascii="David" w:hAnsi="David" w:cs="David" w:hint="cs"/>
          <w:sz w:val="24"/>
          <w:szCs w:val="24"/>
          <w:rtl/>
        </w:rPr>
        <w:t>שימוש ב</w:t>
      </w:r>
      <w:r w:rsidRPr="005F3228">
        <w:rPr>
          <w:rFonts w:ascii="David" w:hAnsi="David" w:cs="David"/>
          <w:sz w:val="24"/>
          <w:szCs w:val="24"/>
          <w:rtl/>
        </w:rPr>
        <w:t xml:space="preserve">הלכת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Pr="005F3228">
        <w:rPr>
          <w:rFonts w:ascii="David" w:hAnsi="David" w:cs="David"/>
          <w:sz w:val="24"/>
          <w:szCs w:val="24"/>
          <w:rtl/>
        </w:rPr>
        <w:t xml:space="preserve"> </w:t>
      </w:r>
      <w:bookmarkStart w:id="8" w:name="_Hlk20947680"/>
      <w:r w:rsidRPr="005F3228">
        <w:rPr>
          <w:rFonts w:ascii="David" w:hAnsi="David" w:cs="David"/>
          <w:sz w:val="24"/>
          <w:szCs w:val="24"/>
          <w:rtl/>
        </w:rPr>
        <w:t>ואינם מרבים להשתמש באפשרות לתת סעד מכוח דיני עשיית עושר מקום בו לא מתקיימת עילת תביעה מכוח דיני הקניין הרוחני</w:t>
      </w:r>
      <w:bookmarkEnd w:id="8"/>
      <w:r w:rsidRPr="005F3228">
        <w:rPr>
          <w:rFonts w:ascii="David" w:hAnsi="David" w:cs="David"/>
          <w:sz w:val="24"/>
          <w:szCs w:val="24"/>
          <w:rtl/>
        </w:rPr>
        <w:t>.</w:t>
      </w:r>
      <w:r w:rsidRPr="005F3228">
        <w:rPr>
          <w:rStyle w:val="FootnoteReference"/>
          <w:rFonts w:ascii="David" w:hAnsi="David" w:cs="David"/>
          <w:sz w:val="24"/>
          <w:szCs w:val="24"/>
          <w:rtl/>
        </w:rPr>
        <w:footnoteReference w:id="12"/>
      </w:r>
    </w:p>
    <w:p w14:paraId="24FC7F34" w14:textId="77777777" w:rsidR="00205D92" w:rsidRPr="005F3228" w:rsidRDefault="00205D92" w:rsidP="009C43BA">
      <w:pPr>
        <w:tabs>
          <w:tab w:val="right" w:pos="504"/>
        </w:tabs>
        <w:spacing w:line="300" w:lineRule="exact"/>
        <w:jc w:val="both"/>
        <w:rPr>
          <w:rFonts w:ascii="David" w:hAnsi="David" w:cs="David"/>
          <w:sz w:val="24"/>
          <w:szCs w:val="24"/>
          <w:rtl/>
        </w:rPr>
      </w:pPr>
      <w:r w:rsidRPr="005F3228">
        <w:rPr>
          <w:rFonts w:ascii="David" w:hAnsi="David" w:cs="David"/>
          <w:b/>
          <w:bCs/>
          <w:sz w:val="24"/>
          <w:szCs w:val="24"/>
          <w:rtl/>
        </w:rPr>
        <w:t>בשלב השני</w:t>
      </w:r>
      <w:r w:rsidRPr="005F3228">
        <w:rPr>
          <w:rFonts w:ascii="David" w:hAnsi="David" w:cs="David"/>
          <w:sz w:val="24"/>
          <w:szCs w:val="24"/>
          <w:rtl/>
        </w:rPr>
        <w:t xml:space="preserve">, התמקדנו באותם </w:t>
      </w:r>
      <w:r w:rsidR="00A8014C" w:rsidRPr="005F3228">
        <w:rPr>
          <w:rFonts w:ascii="David" w:hAnsi="David" w:cs="David" w:hint="cs"/>
          <w:sz w:val="24"/>
          <w:szCs w:val="24"/>
          <w:rtl/>
        </w:rPr>
        <w:t>מקרים</w:t>
      </w:r>
      <w:r w:rsidRPr="005F3228">
        <w:rPr>
          <w:rFonts w:ascii="David" w:hAnsi="David" w:cs="David"/>
          <w:sz w:val="24"/>
          <w:szCs w:val="24"/>
          <w:rtl/>
        </w:rPr>
        <w:t xml:space="preserve"> "דמויי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Pr="005F3228">
        <w:rPr>
          <w:rFonts w:ascii="David" w:hAnsi="David" w:cs="David"/>
          <w:sz w:val="24"/>
          <w:szCs w:val="24"/>
          <w:rtl/>
        </w:rPr>
        <w:t>", וערכנו ניתוח איכותני מפורט שלהם, תוך ניסיון לזהות ולמפות את המאפיינים של</w:t>
      </w:r>
      <w:r w:rsidR="00296A0C" w:rsidRPr="005F3228">
        <w:rPr>
          <w:rFonts w:ascii="David" w:hAnsi="David" w:cs="David" w:hint="cs"/>
          <w:sz w:val="24"/>
          <w:szCs w:val="24"/>
          <w:rtl/>
        </w:rPr>
        <w:t xml:space="preserve"> המקרים בהם הוכרה עילה בעשיית עושר ולא במשפט </w:t>
      </w:r>
      <w:r w:rsidRPr="005F3228">
        <w:rPr>
          <w:rFonts w:ascii="David" w:hAnsi="David" w:cs="David"/>
          <w:sz w:val="24"/>
          <w:szCs w:val="24"/>
          <w:rtl/>
        </w:rPr>
        <w:t xml:space="preserve">מקום בו אין הפרה של זכות קניין רוחני ספציפית. </w:t>
      </w:r>
      <w:r w:rsidR="009C43BA" w:rsidRPr="005F3228">
        <w:rPr>
          <w:rFonts w:ascii="David" w:hAnsi="David" w:cs="David" w:hint="cs"/>
          <w:sz w:val="24"/>
          <w:szCs w:val="24"/>
          <w:rtl/>
        </w:rPr>
        <w:t xml:space="preserve">בחינה זו מעלה כי </w:t>
      </w:r>
      <w:r w:rsidRPr="005F3228">
        <w:rPr>
          <w:rFonts w:ascii="David" w:hAnsi="David" w:cs="David"/>
          <w:sz w:val="24"/>
          <w:szCs w:val="24"/>
          <w:rtl/>
        </w:rPr>
        <w:t xml:space="preserve">ככלל, ניתן לסווג את המקרים בהם בתי המשפט עשו שימוש בהלכה לשם מתן סעד בעשיית עושר, בהעדר זכות קניין רוחני ספציפית, למספר קטגוריות עיקריות. </w:t>
      </w:r>
    </w:p>
    <w:p w14:paraId="05A8A1AC" w14:textId="06B51FF1" w:rsidR="00205D92" w:rsidRPr="005F3228" w:rsidRDefault="00205D92" w:rsidP="009F0092">
      <w:pPr>
        <w:spacing w:line="300" w:lineRule="exact"/>
        <w:jc w:val="both"/>
        <w:rPr>
          <w:rFonts w:ascii="David" w:hAnsi="David" w:cs="David"/>
          <w:sz w:val="24"/>
          <w:szCs w:val="24"/>
        </w:rPr>
      </w:pPr>
      <w:r w:rsidRPr="005F3228">
        <w:rPr>
          <w:rFonts w:ascii="David" w:hAnsi="David" w:cs="David"/>
          <w:sz w:val="24"/>
          <w:szCs w:val="24"/>
          <w:u w:val="single"/>
          <w:rtl/>
        </w:rPr>
        <w:t xml:space="preserve">קטגוריה </w:t>
      </w:r>
      <w:r w:rsidR="00B407E9" w:rsidRPr="005F3228">
        <w:rPr>
          <w:rFonts w:ascii="David" w:hAnsi="David" w:cs="David"/>
          <w:sz w:val="24"/>
          <w:szCs w:val="24"/>
          <w:u w:val="single"/>
          <w:rtl/>
        </w:rPr>
        <w:t>ראשונה</w:t>
      </w:r>
      <w:r w:rsidRPr="005F3228">
        <w:rPr>
          <w:rFonts w:ascii="David" w:hAnsi="David" w:cs="David"/>
          <w:sz w:val="24"/>
          <w:szCs w:val="24"/>
          <w:rtl/>
        </w:rPr>
        <w:t xml:space="preserve"> </w:t>
      </w:r>
      <w:r w:rsidR="00B407E9" w:rsidRPr="005F3228">
        <w:rPr>
          <w:rFonts w:ascii="David" w:hAnsi="David" w:cs="David"/>
          <w:sz w:val="24"/>
          <w:szCs w:val="24"/>
          <w:rtl/>
        </w:rPr>
        <w:t xml:space="preserve">של </w:t>
      </w:r>
      <w:r w:rsidRPr="005F3228">
        <w:rPr>
          <w:rFonts w:ascii="David" w:hAnsi="David" w:cs="David"/>
          <w:sz w:val="24"/>
          <w:szCs w:val="24"/>
          <w:rtl/>
        </w:rPr>
        <w:t xml:space="preserve">מקרים נוגעת למצבים בהם </w:t>
      </w:r>
      <w:r w:rsidR="00FC4517" w:rsidRPr="005F3228">
        <w:rPr>
          <w:rFonts w:ascii="David" w:hAnsi="David" w:cs="David" w:hint="cs"/>
          <w:sz w:val="24"/>
          <w:szCs w:val="24"/>
          <w:rtl/>
        </w:rPr>
        <w:t xml:space="preserve">נשוא הדיון הוא קניין רוחני במובן הרחב, אולם </w:t>
      </w:r>
      <w:r w:rsidR="00B407E9" w:rsidRPr="005F3228">
        <w:rPr>
          <w:rFonts w:ascii="David" w:hAnsi="David" w:cs="David"/>
          <w:sz w:val="24"/>
          <w:szCs w:val="24"/>
          <w:rtl/>
        </w:rPr>
        <w:t xml:space="preserve">קיים חסר תחיקתי </w:t>
      </w:r>
      <w:r w:rsidR="0059461D" w:rsidRPr="005F3228">
        <w:rPr>
          <w:rFonts w:ascii="David" w:hAnsi="David" w:cs="David" w:hint="cs"/>
          <w:sz w:val="24"/>
          <w:szCs w:val="24"/>
          <w:rtl/>
        </w:rPr>
        <w:t xml:space="preserve">במשפט הישראלי </w:t>
      </w:r>
      <w:r w:rsidR="00B407E9" w:rsidRPr="005F3228">
        <w:rPr>
          <w:rFonts w:ascii="David" w:hAnsi="David" w:cs="David"/>
          <w:sz w:val="24"/>
          <w:szCs w:val="24"/>
          <w:rtl/>
        </w:rPr>
        <w:t xml:space="preserve">בהגנה על תוצרים רוחניים מהסוג בו </w:t>
      </w:r>
      <w:r w:rsidR="0051542C" w:rsidRPr="005F3228">
        <w:rPr>
          <w:rFonts w:ascii="David" w:hAnsi="David" w:cs="David" w:hint="cs"/>
          <w:sz w:val="24"/>
          <w:szCs w:val="24"/>
          <w:rtl/>
        </w:rPr>
        <w:t>מ</w:t>
      </w:r>
      <w:r w:rsidR="00B407E9" w:rsidRPr="005F3228">
        <w:rPr>
          <w:rFonts w:ascii="David" w:hAnsi="David" w:cs="David"/>
          <w:sz w:val="24"/>
          <w:szCs w:val="24"/>
          <w:rtl/>
        </w:rPr>
        <w:t>דובר</w:t>
      </w:r>
      <w:r w:rsidRPr="005F3228">
        <w:rPr>
          <w:rFonts w:ascii="David" w:hAnsi="David" w:cs="David"/>
          <w:sz w:val="24"/>
          <w:szCs w:val="24"/>
          <w:rtl/>
        </w:rPr>
        <w:t>. עם קטגוריה זו נמנים פסקי דין שהכירו ב</w:t>
      </w:r>
      <w:r w:rsidRPr="005F3228">
        <w:rPr>
          <w:rFonts w:ascii="David" w:hAnsi="David" w:cs="David"/>
          <w:b/>
          <w:bCs/>
          <w:sz w:val="24"/>
          <w:szCs w:val="24"/>
          <w:rtl/>
        </w:rPr>
        <w:t>זכות לפרסום</w:t>
      </w:r>
      <w:r w:rsidRPr="005F3228">
        <w:rPr>
          <w:rFonts w:ascii="David" w:hAnsi="David" w:cs="David"/>
          <w:sz w:val="24"/>
          <w:szCs w:val="24"/>
          <w:rtl/>
        </w:rPr>
        <w:t xml:space="preserve">, כלומר—בזכות של אדם לשלוט על השימוש המסחרי </w:t>
      </w:r>
      <w:r w:rsidRPr="005F3228">
        <w:rPr>
          <w:rFonts w:ascii="David" w:hAnsi="David" w:cs="David"/>
          <w:sz w:val="24"/>
          <w:szCs w:val="24"/>
          <w:rtl/>
        </w:rPr>
        <w:lastRenderedPageBreak/>
        <w:t xml:space="preserve">בשמו או בדמותו, זכות שהוכרה לראשונה על ידי בית המשפט העליון בפרשת </w:t>
      </w:r>
      <w:r w:rsidRPr="005F3228">
        <w:rPr>
          <w:rFonts w:ascii="David" w:hAnsi="David" w:cs="David"/>
          <w:b/>
          <w:bCs/>
          <w:sz w:val="24"/>
          <w:szCs w:val="24"/>
          <w:rtl/>
        </w:rPr>
        <w:t>מקדונלד.</w:t>
      </w:r>
      <w:bookmarkStart w:id="9" w:name="_Ref27910906"/>
      <w:r w:rsidRPr="005F3228">
        <w:rPr>
          <w:rStyle w:val="FootnoteReference"/>
          <w:rFonts w:ascii="David" w:hAnsi="David" w:cs="David"/>
          <w:sz w:val="24"/>
          <w:szCs w:val="24"/>
          <w:rtl/>
        </w:rPr>
        <w:footnoteReference w:id="13"/>
      </w:r>
      <w:bookmarkEnd w:id="9"/>
      <w:r w:rsidRPr="005F3228">
        <w:rPr>
          <w:rFonts w:ascii="David" w:hAnsi="David" w:cs="David"/>
          <w:b/>
          <w:bCs/>
          <w:sz w:val="24"/>
          <w:szCs w:val="24"/>
          <w:rtl/>
        </w:rPr>
        <w:t xml:space="preserve"> </w:t>
      </w:r>
      <w:r w:rsidRPr="005F3228">
        <w:rPr>
          <w:rFonts w:ascii="David" w:hAnsi="David" w:cs="David"/>
          <w:sz w:val="24"/>
          <w:szCs w:val="24"/>
          <w:rtl/>
        </w:rPr>
        <w:t>הזכות השנייה שהוכרה על-ידי הפסיקה באופן דומה היא "</w:t>
      </w:r>
      <w:r w:rsidRPr="005F3228">
        <w:rPr>
          <w:rFonts w:ascii="David" w:hAnsi="David" w:cs="David"/>
          <w:b/>
          <w:bCs/>
          <w:sz w:val="24"/>
          <w:szCs w:val="24"/>
          <w:rtl/>
        </w:rPr>
        <w:t>זכות השידור</w:t>
      </w:r>
      <w:r w:rsidRPr="005F3228">
        <w:rPr>
          <w:rFonts w:ascii="David" w:hAnsi="David" w:cs="David"/>
          <w:sz w:val="24"/>
          <w:szCs w:val="24"/>
          <w:rtl/>
        </w:rPr>
        <w:t>", זכות</w:t>
      </w:r>
      <w:r w:rsidR="00F20B12" w:rsidRPr="005F3228">
        <w:rPr>
          <w:rFonts w:ascii="David" w:hAnsi="David" w:cs="David"/>
          <w:sz w:val="24"/>
          <w:szCs w:val="24"/>
          <w:rtl/>
        </w:rPr>
        <w:t>ם של</w:t>
      </w:r>
      <w:r w:rsidRPr="005F3228">
        <w:rPr>
          <w:rFonts w:ascii="David" w:hAnsi="David" w:cs="David"/>
          <w:sz w:val="24"/>
          <w:szCs w:val="24"/>
          <w:rtl/>
        </w:rPr>
        <w:t xml:space="preserve"> מפיקי אירועי ספורט (ובמידה מסוימת, בעלי רישיון בלעדי</w:t>
      </w:r>
      <w:r w:rsidR="00FC4517" w:rsidRPr="005F3228">
        <w:rPr>
          <w:rFonts w:ascii="David" w:hAnsi="David" w:cs="David" w:hint="cs"/>
          <w:sz w:val="24"/>
          <w:szCs w:val="24"/>
          <w:rtl/>
        </w:rPr>
        <w:t xml:space="preserve"> לשידור אירועי ספורט</w:t>
      </w:r>
      <w:r w:rsidRPr="005F3228">
        <w:rPr>
          <w:rFonts w:ascii="David" w:hAnsi="David" w:cs="David"/>
          <w:sz w:val="24"/>
          <w:szCs w:val="24"/>
          <w:rtl/>
        </w:rPr>
        <w:t xml:space="preserve">) למנוע צילום ושידור אירועי ספורט על ידי צד שלישי לא מורשה, אשר הוכרה על ידי בית המשפט המחוזי </w:t>
      </w:r>
      <w:r w:rsidR="00B407E9" w:rsidRPr="005F3228">
        <w:rPr>
          <w:rFonts w:ascii="David" w:hAnsi="David" w:cs="David"/>
          <w:sz w:val="24"/>
          <w:szCs w:val="24"/>
          <w:rtl/>
        </w:rPr>
        <w:t xml:space="preserve">בתל אביב </w:t>
      </w:r>
      <w:r w:rsidRPr="005F3228">
        <w:rPr>
          <w:rFonts w:ascii="David" w:hAnsi="David" w:cs="David"/>
          <w:sz w:val="24"/>
          <w:szCs w:val="24"/>
          <w:rtl/>
        </w:rPr>
        <w:t xml:space="preserve">בפרשת </w:t>
      </w:r>
      <w:r w:rsidRPr="005F3228">
        <w:rPr>
          <w:rFonts w:ascii="David" w:hAnsi="David" w:cs="David"/>
          <w:b/>
          <w:bCs/>
          <w:sz w:val="24"/>
          <w:szCs w:val="24"/>
          <w:rtl/>
        </w:rPr>
        <w:t>רדיו ללא הפסקה</w:t>
      </w:r>
      <w:r w:rsidR="00B407E9" w:rsidRPr="005F3228">
        <w:rPr>
          <w:rFonts w:ascii="David" w:hAnsi="David" w:cs="David"/>
          <w:sz w:val="24"/>
          <w:szCs w:val="24"/>
          <w:rtl/>
        </w:rPr>
        <w:t xml:space="preserve">, </w:t>
      </w:r>
      <w:r w:rsidRPr="005F3228">
        <w:rPr>
          <w:rFonts w:ascii="David" w:hAnsi="David" w:cs="David"/>
          <w:sz w:val="24"/>
          <w:szCs w:val="24"/>
          <w:rtl/>
        </w:rPr>
        <w:t>ועוגנה אף היא בדיני עשיית עושר.</w:t>
      </w:r>
      <w:bookmarkStart w:id="10" w:name="_Ref27911137"/>
      <w:r w:rsidR="00B407E9" w:rsidRPr="005F3228">
        <w:rPr>
          <w:rStyle w:val="FootnoteReference"/>
          <w:rFonts w:ascii="David" w:hAnsi="David" w:cs="David"/>
          <w:sz w:val="24"/>
          <w:szCs w:val="24"/>
          <w:rtl/>
        </w:rPr>
        <w:footnoteReference w:id="14"/>
      </w:r>
      <w:bookmarkEnd w:id="10"/>
      <w:r w:rsidRPr="005F3228">
        <w:rPr>
          <w:rFonts w:ascii="David" w:hAnsi="David" w:cs="David"/>
          <w:sz w:val="24"/>
          <w:szCs w:val="24"/>
          <w:rtl/>
        </w:rPr>
        <w:t xml:space="preserve"> בשני המקרים האמורים, נעשה שימוש בדיני עשיית עושר על מנת להכיר</w:t>
      </w:r>
      <w:r w:rsidR="009C43BA" w:rsidRPr="005F3228">
        <w:rPr>
          <w:rFonts w:ascii="David" w:hAnsi="David" w:cs="David" w:hint="cs"/>
          <w:sz w:val="24"/>
          <w:szCs w:val="24"/>
          <w:rtl/>
        </w:rPr>
        <w:t>,</w:t>
      </w:r>
      <w:r w:rsidRPr="005F3228">
        <w:rPr>
          <w:rFonts w:ascii="David" w:hAnsi="David" w:cs="David"/>
          <w:sz w:val="24"/>
          <w:szCs w:val="24"/>
          <w:rtl/>
        </w:rPr>
        <w:t xml:space="preserve"> הלכה למעשה</w:t>
      </w:r>
      <w:r w:rsidR="009C43BA" w:rsidRPr="005F3228">
        <w:rPr>
          <w:rFonts w:ascii="David" w:hAnsi="David" w:cs="David" w:hint="cs"/>
          <w:sz w:val="24"/>
          <w:szCs w:val="24"/>
          <w:rtl/>
        </w:rPr>
        <w:t>,</w:t>
      </w:r>
      <w:r w:rsidRPr="005F3228">
        <w:rPr>
          <w:rFonts w:ascii="David" w:hAnsi="David" w:cs="David"/>
          <w:sz w:val="24"/>
          <w:szCs w:val="24"/>
          <w:rtl/>
        </w:rPr>
        <w:t xml:space="preserve"> בזכויות "מעין-קניין רוחני" חדשות, אשר בחלק מהמדינות מעוגנות בחקיקה, ולמלא חלל שהיה קיים בהגנה על אינטרסים כלכליים משמעותיים. אף אם ניתן לגרוס שבאופן אופטימלי ראוי שחלל זה יתמלא על ידי המחוקק, </w:t>
      </w:r>
      <w:r w:rsidR="00C74104" w:rsidRPr="005F3228">
        <w:rPr>
          <w:rFonts w:ascii="David" w:hAnsi="David" w:cs="David" w:hint="cs"/>
          <w:sz w:val="24"/>
          <w:szCs w:val="24"/>
          <w:rtl/>
        </w:rPr>
        <w:t xml:space="preserve">במקרים אלה נעשה שימוש בדיני עשיית עושר </w:t>
      </w:r>
      <w:r w:rsidR="00F215A5" w:rsidRPr="005F3228">
        <w:rPr>
          <w:rFonts w:ascii="David" w:hAnsi="David" w:cs="David" w:hint="cs"/>
          <w:sz w:val="24"/>
          <w:szCs w:val="24"/>
          <w:rtl/>
        </w:rPr>
        <w:t xml:space="preserve">לשם מילוי חוסרים, </w:t>
      </w:r>
      <w:r w:rsidR="00201AA4" w:rsidRPr="005F3228">
        <w:rPr>
          <w:rFonts w:ascii="David" w:hAnsi="David" w:cs="David" w:hint="cs"/>
          <w:sz w:val="24"/>
          <w:szCs w:val="24"/>
          <w:rtl/>
        </w:rPr>
        <w:t>באופן ש</w:t>
      </w:r>
      <w:r w:rsidR="009F0092" w:rsidRPr="005F3228">
        <w:rPr>
          <w:rFonts w:ascii="David" w:hAnsi="David" w:cs="David" w:hint="cs"/>
          <w:sz w:val="24"/>
          <w:szCs w:val="24"/>
          <w:rtl/>
        </w:rPr>
        <w:t xml:space="preserve">לעמדתנו </w:t>
      </w:r>
      <w:r w:rsidR="00201AA4" w:rsidRPr="005F3228">
        <w:rPr>
          <w:rFonts w:ascii="David" w:hAnsi="David" w:cs="David" w:hint="cs"/>
          <w:sz w:val="24"/>
          <w:szCs w:val="24"/>
          <w:rtl/>
        </w:rPr>
        <w:t xml:space="preserve">אינו </w:t>
      </w:r>
      <w:r w:rsidR="009F0092" w:rsidRPr="005F3228">
        <w:rPr>
          <w:rFonts w:ascii="David" w:hAnsi="David" w:cs="David" w:hint="cs"/>
          <w:sz w:val="24"/>
          <w:szCs w:val="24"/>
          <w:rtl/>
        </w:rPr>
        <w:t>מפר</w:t>
      </w:r>
      <w:r w:rsidR="007B18A6" w:rsidRPr="005F3228">
        <w:rPr>
          <w:rFonts w:ascii="David" w:hAnsi="David" w:cs="David" w:hint="cs"/>
          <w:sz w:val="24"/>
          <w:szCs w:val="24"/>
          <w:rtl/>
        </w:rPr>
        <w:t xml:space="preserve"> </w:t>
      </w:r>
      <w:r w:rsidR="00E12B48" w:rsidRPr="005F3228">
        <w:rPr>
          <w:rFonts w:ascii="David" w:hAnsi="David" w:cs="David" w:hint="cs"/>
          <w:sz w:val="24"/>
          <w:szCs w:val="24"/>
          <w:rtl/>
        </w:rPr>
        <w:t>את האיזונים הקבועים ב</w:t>
      </w:r>
      <w:r w:rsidR="00F215A5" w:rsidRPr="005F3228">
        <w:rPr>
          <w:rFonts w:ascii="David" w:hAnsi="David" w:cs="David" w:hint="cs"/>
          <w:sz w:val="24"/>
          <w:szCs w:val="24"/>
          <w:rtl/>
        </w:rPr>
        <w:t>חקיקת הקניין הרוחני, שאינה מטפלת בזכויות האמורות</w:t>
      </w:r>
      <w:r w:rsidR="00C74104" w:rsidRPr="005F3228">
        <w:rPr>
          <w:rFonts w:ascii="David" w:hAnsi="David" w:cs="David" w:hint="cs"/>
          <w:sz w:val="24"/>
          <w:szCs w:val="24"/>
          <w:rtl/>
        </w:rPr>
        <w:t>.</w:t>
      </w:r>
      <w:r w:rsidR="00405655" w:rsidRPr="005F3228">
        <w:rPr>
          <w:rStyle w:val="FootnoteReference"/>
          <w:rFonts w:ascii="David" w:hAnsi="David" w:cs="David"/>
          <w:sz w:val="24"/>
          <w:szCs w:val="24"/>
          <w:rtl/>
        </w:rPr>
        <w:footnoteReference w:id="15"/>
      </w:r>
      <w:r w:rsidR="00C74104" w:rsidRPr="005F3228">
        <w:rPr>
          <w:rFonts w:ascii="David" w:hAnsi="David" w:cs="David" w:hint="cs"/>
          <w:sz w:val="24"/>
          <w:szCs w:val="24"/>
          <w:rtl/>
        </w:rPr>
        <w:t xml:space="preserve"> </w:t>
      </w:r>
    </w:p>
    <w:p w14:paraId="314EE44E" w14:textId="77777777" w:rsidR="00B407E9" w:rsidRPr="005F3228" w:rsidRDefault="00B407E9" w:rsidP="0082632F">
      <w:pPr>
        <w:tabs>
          <w:tab w:val="right" w:pos="504"/>
        </w:tabs>
        <w:spacing w:line="300" w:lineRule="exact"/>
        <w:jc w:val="both"/>
        <w:rPr>
          <w:rFonts w:ascii="David" w:hAnsi="David" w:cs="David"/>
          <w:sz w:val="24"/>
          <w:szCs w:val="24"/>
          <w:rtl/>
        </w:rPr>
      </w:pPr>
      <w:r w:rsidRPr="005F3228">
        <w:rPr>
          <w:rFonts w:ascii="David" w:hAnsi="David" w:cs="David"/>
          <w:sz w:val="24"/>
          <w:szCs w:val="24"/>
          <w:u w:val="single"/>
          <w:rtl/>
        </w:rPr>
        <w:t>הקטגוריה השנייה</w:t>
      </w:r>
      <w:r w:rsidRPr="005F3228">
        <w:rPr>
          <w:rFonts w:ascii="David" w:hAnsi="David" w:cs="David"/>
          <w:sz w:val="24"/>
          <w:szCs w:val="24"/>
          <w:rtl/>
        </w:rPr>
        <w:t xml:space="preserve"> והגדולה מכולן כוללת מקרים בהם התוצר הרוחני שעמד על הפרק היה עיצוב לא רשום של מוצר תעשייתי כלשהו, בדומה לנסיבות העובדתיות שברקע פסק דין </w:t>
      </w:r>
      <w:proofErr w:type="spellStart"/>
      <w:r w:rsidRPr="005F3228">
        <w:rPr>
          <w:rFonts w:ascii="David" w:hAnsi="David" w:cs="David"/>
          <w:sz w:val="24"/>
          <w:szCs w:val="24"/>
          <w:rtl/>
        </w:rPr>
        <w:t>א.ש.י.ר</w:t>
      </w:r>
      <w:proofErr w:type="spellEnd"/>
      <w:r w:rsidR="00505EE1" w:rsidRPr="005F3228">
        <w:rPr>
          <w:rFonts w:ascii="David" w:hAnsi="David" w:cs="David"/>
          <w:sz w:val="24"/>
          <w:szCs w:val="24"/>
          <w:rtl/>
        </w:rPr>
        <w:t>.</w:t>
      </w:r>
      <w:r w:rsidRPr="005F3228">
        <w:rPr>
          <w:rFonts w:ascii="David" w:hAnsi="David" w:cs="David"/>
          <w:sz w:val="24"/>
          <w:szCs w:val="24"/>
          <w:rtl/>
        </w:rPr>
        <w:t xml:space="preserve"> עצמו.</w:t>
      </w:r>
      <w:r w:rsidR="00C11FA1" w:rsidRPr="005F3228">
        <w:rPr>
          <w:rStyle w:val="FootnoteReference"/>
          <w:rFonts w:ascii="David" w:hAnsi="David" w:cs="David"/>
          <w:sz w:val="24"/>
          <w:szCs w:val="24"/>
          <w:rtl/>
        </w:rPr>
        <w:footnoteReference w:id="16"/>
      </w:r>
      <w:r w:rsidRPr="005F3228">
        <w:rPr>
          <w:rFonts w:ascii="David" w:hAnsi="David" w:cs="David"/>
          <w:sz w:val="24"/>
          <w:szCs w:val="24"/>
          <w:rtl/>
        </w:rPr>
        <w:t xml:space="preserve"> יצוין בהקשר זה, כי </w:t>
      </w:r>
      <w:r w:rsidR="0019153C" w:rsidRPr="005F3228">
        <w:rPr>
          <w:rFonts w:ascii="David" w:hAnsi="David" w:cs="David"/>
          <w:sz w:val="24"/>
          <w:szCs w:val="24"/>
          <w:rtl/>
        </w:rPr>
        <w:t>ביחס לקבוצה לא מבוטלת של עיצובים (כמו, למשל, פריטי אופנה) הליך של רישום הוא במידה רבה לא רלבנטי.</w:t>
      </w:r>
      <w:r w:rsidR="0019153C" w:rsidRPr="005F3228">
        <w:rPr>
          <w:rFonts w:ascii="David" w:hAnsi="David" w:cs="David" w:hint="cs"/>
          <w:sz w:val="24"/>
          <w:szCs w:val="24"/>
          <w:rtl/>
        </w:rPr>
        <w:t xml:space="preserve"> למרות זאת, </w:t>
      </w:r>
      <w:r w:rsidRPr="005F3228">
        <w:rPr>
          <w:rFonts w:ascii="David" w:hAnsi="David" w:cs="David"/>
          <w:sz w:val="24"/>
          <w:szCs w:val="24"/>
          <w:rtl/>
        </w:rPr>
        <w:t>עד לחקיקת חוק העיצובים</w:t>
      </w:r>
      <w:r w:rsidR="0019153C" w:rsidRPr="005F3228">
        <w:rPr>
          <w:rFonts w:ascii="David" w:hAnsi="David" w:cs="David" w:hint="cs"/>
          <w:sz w:val="24"/>
          <w:szCs w:val="24"/>
          <w:rtl/>
        </w:rPr>
        <w:t xml:space="preserve"> בשנת 2017</w:t>
      </w:r>
      <w:r w:rsidRPr="005F3228">
        <w:rPr>
          <w:rFonts w:ascii="David" w:hAnsi="David" w:cs="David"/>
          <w:sz w:val="24"/>
          <w:szCs w:val="24"/>
          <w:rtl/>
        </w:rPr>
        <w:t xml:space="preserve"> לא היה קיים מסלול להגנה על עיצובים לא רשומים בדיני הקניין הרוחני בישראל</w:t>
      </w:r>
      <w:r w:rsidR="0019153C" w:rsidRPr="005F3228">
        <w:rPr>
          <w:rFonts w:ascii="David" w:hAnsi="David" w:cs="David" w:hint="cs"/>
          <w:sz w:val="24"/>
          <w:szCs w:val="24"/>
          <w:rtl/>
        </w:rPr>
        <w:t>.</w:t>
      </w:r>
      <w:bookmarkStart w:id="11" w:name="_Ref28465732"/>
      <w:r w:rsidR="0019153C" w:rsidRPr="005F3228">
        <w:rPr>
          <w:rStyle w:val="FootnoteReference"/>
          <w:rFonts w:ascii="David" w:hAnsi="David" w:cs="David"/>
          <w:sz w:val="24"/>
          <w:szCs w:val="24"/>
          <w:rtl/>
        </w:rPr>
        <w:footnoteReference w:id="17"/>
      </w:r>
      <w:bookmarkEnd w:id="11"/>
      <w:r w:rsidR="0019153C" w:rsidRPr="005F3228">
        <w:rPr>
          <w:rFonts w:ascii="David" w:hAnsi="David" w:cs="David" w:hint="cs"/>
          <w:sz w:val="24"/>
          <w:szCs w:val="24"/>
          <w:rtl/>
        </w:rPr>
        <w:t xml:space="preserve"> על כן, </w:t>
      </w:r>
      <w:r w:rsidRPr="005F3228">
        <w:rPr>
          <w:rFonts w:ascii="David" w:hAnsi="David" w:cs="David"/>
          <w:sz w:val="24"/>
          <w:szCs w:val="24"/>
          <w:rtl/>
        </w:rPr>
        <w:t>ניתן לומר שטרם כניסתו לתוקף של חוק העיצובים</w:t>
      </w:r>
      <w:r w:rsidR="00C11FA1" w:rsidRPr="005F3228">
        <w:rPr>
          <w:rFonts w:ascii="David" w:hAnsi="David" w:cs="David"/>
          <w:sz w:val="24"/>
          <w:szCs w:val="24"/>
          <w:rtl/>
        </w:rPr>
        <w:t xml:space="preserve">, </w:t>
      </w:r>
      <w:r w:rsidRPr="005F3228">
        <w:rPr>
          <w:rFonts w:ascii="David" w:hAnsi="David" w:cs="David"/>
          <w:sz w:val="24"/>
          <w:szCs w:val="24"/>
          <w:rtl/>
        </w:rPr>
        <w:t xml:space="preserve">דיני הקניין הרוחני בישראל לקו בחסר בהקשר של הגנה אפקטיבית על עיצובים. כעולה מן המחקר האמפירי, הפסיקה המשיכה לעשות שימוש בהלכת </w:t>
      </w:r>
      <w:proofErr w:type="spellStart"/>
      <w:r w:rsidRPr="005F3228">
        <w:rPr>
          <w:rFonts w:ascii="David" w:hAnsi="David" w:cs="David"/>
          <w:sz w:val="24"/>
          <w:szCs w:val="24"/>
          <w:rtl/>
        </w:rPr>
        <w:t>א.ש.י.ר</w:t>
      </w:r>
      <w:proofErr w:type="spellEnd"/>
      <w:r w:rsidR="00505EE1" w:rsidRPr="005F3228">
        <w:rPr>
          <w:rFonts w:ascii="David" w:hAnsi="David" w:cs="David"/>
          <w:sz w:val="24"/>
          <w:szCs w:val="24"/>
          <w:rtl/>
        </w:rPr>
        <w:t>.</w:t>
      </w:r>
      <w:r w:rsidRPr="005F3228">
        <w:rPr>
          <w:rFonts w:ascii="David" w:hAnsi="David" w:cs="David"/>
          <w:sz w:val="24"/>
          <w:szCs w:val="24"/>
          <w:rtl/>
        </w:rPr>
        <w:t xml:space="preserve"> על מנת לגשר על </w:t>
      </w:r>
      <w:r w:rsidR="0019153C" w:rsidRPr="005F3228">
        <w:rPr>
          <w:rFonts w:ascii="David" w:hAnsi="David" w:cs="David" w:hint="cs"/>
          <w:sz w:val="24"/>
          <w:szCs w:val="24"/>
          <w:rtl/>
        </w:rPr>
        <w:t>ה</w:t>
      </w:r>
      <w:r w:rsidRPr="005F3228">
        <w:rPr>
          <w:rFonts w:ascii="David" w:hAnsi="David" w:cs="David"/>
          <w:sz w:val="24"/>
          <w:szCs w:val="24"/>
          <w:rtl/>
        </w:rPr>
        <w:t>פער ביחס להגנה על עיצובים</w:t>
      </w:r>
      <w:r w:rsidR="0019153C" w:rsidRPr="005F3228">
        <w:rPr>
          <w:rFonts w:ascii="David" w:hAnsi="David" w:cs="David"/>
          <w:sz w:val="24"/>
          <w:szCs w:val="24"/>
          <w:rtl/>
        </w:rPr>
        <w:t>—</w:t>
      </w:r>
      <w:r w:rsidR="0019153C" w:rsidRPr="005F3228">
        <w:rPr>
          <w:rFonts w:ascii="David" w:hAnsi="David" w:cs="David" w:hint="cs"/>
          <w:sz w:val="24"/>
          <w:szCs w:val="24"/>
          <w:rtl/>
        </w:rPr>
        <w:t xml:space="preserve">אותו פער </w:t>
      </w:r>
      <w:r w:rsidR="00C11FA1" w:rsidRPr="005F3228">
        <w:rPr>
          <w:rFonts w:ascii="David" w:hAnsi="David" w:cs="David"/>
          <w:sz w:val="24"/>
          <w:szCs w:val="24"/>
          <w:rtl/>
        </w:rPr>
        <w:t>ש</w:t>
      </w:r>
      <w:r w:rsidRPr="005F3228">
        <w:rPr>
          <w:rFonts w:ascii="David" w:hAnsi="David" w:cs="David"/>
          <w:sz w:val="24"/>
          <w:szCs w:val="24"/>
          <w:rtl/>
        </w:rPr>
        <w:t>הוליד, במידה רבה, את פסק הדין המקורי. מכל מקום, חסר זה זכה כעת לטיפול חקיקתי בחוק העיצובים</w:t>
      </w:r>
      <w:r w:rsidR="00C11FA1" w:rsidRPr="005F3228">
        <w:rPr>
          <w:rFonts w:ascii="David" w:hAnsi="David" w:cs="David"/>
          <w:sz w:val="24"/>
          <w:szCs w:val="24"/>
          <w:rtl/>
        </w:rPr>
        <w:t>—</w:t>
      </w:r>
      <w:r w:rsidRPr="005F3228">
        <w:rPr>
          <w:rFonts w:ascii="David" w:hAnsi="David" w:cs="David"/>
          <w:sz w:val="24"/>
          <w:szCs w:val="24"/>
          <w:rtl/>
        </w:rPr>
        <w:t xml:space="preserve">הכולל </w:t>
      </w:r>
      <w:r w:rsidR="00C11FA1" w:rsidRPr="005F3228">
        <w:rPr>
          <w:rFonts w:ascii="David" w:hAnsi="David" w:cs="David"/>
          <w:sz w:val="24"/>
          <w:szCs w:val="24"/>
          <w:rtl/>
        </w:rPr>
        <w:t xml:space="preserve">מסלול המגן בתנאים מסוימים על </w:t>
      </w:r>
      <w:r w:rsidRPr="005F3228">
        <w:rPr>
          <w:rFonts w:ascii="David" w:hAnsi="David" w:cs="David"/>
          <w:sz w:val="24"/>
          <w:szCs w:val="24"/>
          <w:rtl/>
        </w:rPr>
        <w:t>עיצוב לא רשום</w:t>
      </w:r>
      <w:r w:rsidR="009C43BA" w:rsidRPr="005F3228">
        <w:rPr>
          <w:rFonts w:ascii="David" w:hAnsi="David" w:cs="David" w:hint="cs"/>
          <w:sz w:val="24"/>
          <w:szCs w:val="24"/>
          <w:rtl/>
        </w:rPr>
        <w:t>,</w:t>
      </w:r>
      <w:r w:rsidRPr="005F3228">
        <w:rPr>
          <w:rFonts w:ascii="David" w:hAnsi="David" w:cs="David"/>
          <w:sz w:val="24"/>
          <w:szCs w:val="24"/>
          <w:rtl/>
        </w:rPr>
        <w:t xml:space="preserve"> לצד קביעה מפורשת בדבר הסדר שלילי מקום בו תנאי ההגנה לא מתקיימים—ולכן קטגוריה זו </w:t>
      </w:r>
      <w:r w:rsidR="0082632F" w:rsidRPr="005F3228">
        <w:rPr>
          <w:rFonts w:ascii="David" w:hAnsi="David" w:cs="David" w:hint="cs"/>
          <w:sz w:val="24"/>
          <w:szCs w:val="24"/>
          <w:rtl/>
        </w:rPr>
        <w:t>צפויה להי</w:t>
      </w:r>
      <w:r w:rsidRPr="005F3228">
        <w:rPr>
          <w:rFonts w:ascii="David" w:hAnsi="David" w:cs="David"/>
          <w:sz w:val="24"/>
          <w:szCs w:val="24"/>
          <w:rtl/>
        </w:rPr>
        <w:t>עלם בעתיד הקרוב.</w:t>
      </w:r>
      <w:r w:rsidR="00405655" w:rsidRPr="005F3228">
        <w:rPr>
          <w:rStyle w:val="FootnoteReference"/>
          <w:rFonts w:ascii="David" w:hAnsi="David" w:cs="David"/>
          <w:sz w:val="24"/>
          <w:szCs w:val="24"/>
          <w:rtl/>
        </w:rPr>
        <w:footnoteReference w:id="18"/>
      </w:r>
    </w:p>
    <w:p w14:paraId="3A994D3E" w14:textId="77777777" w:rsidR="00205D92" w:rsidRPr="005F3228" w:rsidRDefault="00205D92" w:rsidP="009652DC">
      <w:pPr>
        <w:spacing w:line="300" w:lineRule="exact"/>
        <w:jc w:val="both"/>
        <w:rPr>
          <w:rFonts w:ascii="David" w:hAnsi="David" w:cs="David"/>
          <w:sz w:val="24"/>
          <w:szCs w:val="24"/>
          <w:rtl/>
        </w:rPr>
      </w:pPr>
      <w:r w:rsidRPr="005F3228">
        <w:rPr>
          <w:rFonts w:ascii="David" w:hAnsi="David" w:cs="David"/>
          <w:sz w:val="24"/>
          <w:szCs w:val="24"/>
          <w:u w:val="single"/>
          <w:rtl/>
        </w:rPr>
        <w:t xml:space="preserve">הקטגוריה </w:t>
      </w:r>
      <w:r w:rsidR="00F06B36" w:rsidRPr="005F3228">
        <w:rPr>
          <w:rFonts w:ascii="David" w:hAnsi="David" w:cs="David" w:hint="eastAsia"/>
          <w:sz w:val="24"/>
          <w:szCs w:val="24"/>
          <w:u w:val="single"/>
          <w:rtl/>
        </w:rPr>
        <w:t>השלישית</w:t>
      </w:r>
      <w:r w:rsidR="00F06B36" w:rsidRPr="005F3228">
        <w:rPr>
          <w:rFonts w:ascii="David" w:hAnsi="David" w:cs="David"/>
          <w:sz w:val="24"/>
          <w:szCs w:val="24"/>
          <w:u w:val="single"/>
          <w:rtl/>
        </w:rPr>
        <w:t xml:space="preserve"> </w:t>
      </w:r>
      <w:r w:rsidR="00601802" w:rsidRPr="005F3228">
        <w:rPr>
          <w:rFonts w:ascii="David" w:hAnsi="David" w:cs="David" w:hint="eastAsia"/>
          <w:sz w:val="24"/>
          <w:szCs w:val="24"/>
          <w:u w:val="single"/>
          <w:rtl/>
        </w:rPr>
        <w:t>היא</w:t>
      </w:r>
      <w:r w:rsidR="00601802" w:rsidRPr="005F3228">
        <w:rPr>
          <w:rFonts w:ascii="David" w:hAnsi="David" w:cs="David"/>
          <w:sz w:val="24"/>
          <w:szCs w:val="24"/>
          <w:u w:val="single"/>
          <w:rtl/>
        </w:rPr>
        <w:t xml:space="preserve"> </w:t>
      </w:r>
      <w:r w:rsidR="00601802" w:rsidRPr="005F3228">
        <w:rPr>
          <w:rFonts w:ascii="David" w:hAnsi="David" w:cs="David" w:hint="eastAsia"/>
          <w:sz w:val="24"/>
          <w:szCs w:val="24"/>
          <w:u w:val="single"/>
          <w:rtl/>
        </w:rPr>
        <w:t>קטגוריה</w:t>
      </w:r>
      <w:r w:rsidR="00601802" w:rsidRPr="005F3228">
        <w:rPr>
          <w:rFonts w:ascii="David" w:hAnsi="David" w:cs="David"/>
          <w:sz w:val="24"/>
          <w:szCs w:val="24"/>
          <w:u w:val="single"/>
          <w:rtl/>
        </w:rPr>
        <w:t xml:space="preserve"> </w:t>
      </w:r>
      <w:r w:rsidR="00601802" w:rsidRPr="005F3228">
        <w:rPr>
          <w:rFonts w:ascii="David" w:hAnsi="David" w:cs="David" w:hint="eastAsia"/>
          <w:sz w:val="24"/>
          <w:szCs w:val="24"/>
          <w:u w:val="single"/>
          <w:rtl/>
        </w:rPr>
        <w:t>שיורית</w:t>
      </w:r>
      <w:r w:rsidR="00601802" w:rsidRPr="005F3228">
        <w:rPr>
          <w:rFonts w:ascii="David" w:hAnsi="David" w:cs="David"/>
          <w:sz w:val="24"/>
          <w:szCs w:val="24"/>
          <w:rtl/>
        </w:rPr>
        <w:t xml:space="preserve">, </w:t>
      </w:r>
      <w:r w:rsidR="00601802" w:rsidRPr="005F3228">
        <w:rPr>
          <w:rFonts w:ascii="David" w:hAnsi="David" w:cs="David" w:hint="eastAsia"/>
          <w:sz w:val="24"/>
          <w:szCs w:val="24"/>
          <w:rtl/>
        </w:rPr>
        <w:t>ה</w:t>
      </w:r>
      <w:r w:rsidRPr="005F3228">
        <w:rPr>
          <w:rFonts w:ascii="David" w:hAnsi="David" w:cs="David"/>
          <w:sz w:val="24"/>
          <w:szCs w:val="24"/>
          <w:rtl/>
        </w:rPr>
        <w:t xml:space="preserve">כוללת מקרים </w:t>
      </w:r>
      <w:r w:rsidR="00C11FA1" w:rsidRPr="005F3228">
        <w:rPr>
          <w:rFonts w:ascii="David" w:hAnsi="David" w:cs="David"/>
          <w:sz w:val="24"/>
          <w:szCs w:val="24"/>
          <w:rtl/>
        </w:rPr>
        <w:t xml:space="preserve">בהם נעשה שימוש בהלכת </w:t>
      </w:r>
      <w:proofErr w:type="spellStart"/>
      <w:r w:rsidR="00C11FA1" w:rsidRPr="005F3228">
        <w:rPr>
          <w:rFonts w:ascii="David" w:hAnsi="David" w:cs="David"/>
          <w:sz w:val="24"/>
          <w:szCs w:val="24"/>
          <w:rtl/>
        </w:rPr>
        <w:t>א.ש.י.ר</w:t>
      </w:r>
      <w:proofErr w:type="spellEnd"/>
      <w:r w:rsidR="00505EE1" w:rsidRPr="005F3228">
        <w:rPr>
          <w:rFonts w:ascii="David" w:hAnsi="David" w:cs="David"/>
          <w:sz w:val="24"/>
          <w:szCs w:val="24"/>
          <w:rtl/>
        </w:rPr>
        <w:t>.</w:t>
      </w:r>
      <w:r w:rsidR="00C11FA1" w:rsidRPr="005F3228">
        <w:rPr>
          <w:rFonts w:ascii="David" w:hAnsi="David" w:cs="David"/>
          <w:sz w:val="24"/>
          <w:szCs w:val="24"/>
          <w:rtl/>
        </w:rPr>
        <w:t xml:space="preserve"> בהקשרים </w:t>
      </w:r>
      <w:r w:rsidR="00D304BA" w:rsidRPr="005F3228">
        <w:rPr>
          <w:rFonts w:ascii="David" w:hAnsi="David" w:cs="David" w:hint="cs"/>
          <w:sz w:val="24"/>
          <w:szCs w:val="24"/>
          <w:rtl/>
        </w:rPr>
        <w:t xml:space="preserve">אחרים, </w:t>
      </w:r>
      <w:r w:rsidR="00405655" w:rsidRPr="005F3228">
        <w:rPr>
          <w:rFonts w:ascii="David" w:hAnsi="David" w:cs="David" w:hint="eastAsia"/>
          <w:sz w:val="24"/>
          <w:szCs w:val="24"/>
          <w:rtl/>
        </w:rPr>
        <w:t>ש</w:t>
      </w:r>
      <w:r w:rsidR="00C11FA1" w:rsidRPr="005F3228">
        <w:rPr>
          <w:rFonts w:ascii="David" w:hAnsi="David" w:cs="David"/>
          <w:sz w:val="24"/>
          <w:szCs w:val="24"/>
          <w:rtl/>
        </w:rPr>
        <w:t>עשויים להיחשב כ</w:t>
      </w:r>
      <w:r w:rsidRPr="005F3228">
        <w:rPr>
          <w:rFonts w:ascii="David" w:hAnsi="David" w:cs="David"/>
          <w:sz w:val="24"/>
          <w:szCs w:val="24"/>
          <w:rtl/>
        </w:rPr>
        <w:t xml:space="preserve">"פריצת גבולות" ועקיפת דיני הקניין הרוחני. קריאה זהירה של פסקי הדין מעלה כי במהלך עשרים השנים שחלפו מאז </w:t>
      </w:r>
      <w:proofErr w:type="spellStart"/>
      <w:r w:rsidRPr="005F3228">
        <w:rPr>
          <w:rFonts w:ascii="David" w:hAnsi="David" w:cs="David"/>
          <w:sz w:val="24"/>
          <w:szCs w:val="24"/>
          <w:rtl/>
        </w:rPr>
        <w:t>א.ש.י.ר</w:t>
      </w:r>
      <w:proofErr w:type="spellEnd"/>
      <w:r w:rsidR="00505EE1" w:rsidRPr="005F3228">
        <w:rPr>
          <w:rFonts w:ascii="David" w:hAnsi="David" w:cs="David"/>
          <w:sz w:val="24"/>
          <w:szCs w:val="24"/>
          <w:rtl/>
        </w:rPr>
        <w:t>.</w:t>
      </w:r>
      <w:r w:rsidRPr="005F3228">
        <w:rPr>
          <w:rFonts w:ascii="David" w:hAnsi="David" w:cs="David"/>
          <w:sz w:val="24"/>
          <w:szCs w:val="24"/>
          <w:rtl/>
        </w:rPr>
        <w:t xml:space="preserve">, המקרים המשתייכים לקטגוריה זו הם </w:t>
      </w:r>
      <w:r w:rsidR="00CC3B1D" w:rsidRPr="005F3228">
        <w:rPr>
          <w:rFonts w:ascii="David" w:hAnsi="David" w:cs="David" w:hint="cs"/>
          <w:sz w:val="24"/>
          <w:szCs w:val="24"/>
          <w:rtl/>
        </w:rPr>
        <w:t xml:space="preserve">לכתחילה </w:t>
      </w:r>
      <w:r w:rsidRPr="005F3228">
        <w:rPr>
          <w:rFonts w:ascii="David" w:hAnsi="David" w:cs="David"/>
          <w:sz w:val="24"/>
          <w:szCs w:val="24"/>
          <w:rtl/>
        </w:rPr>
        <w:t>ספורים</w:t>
      </w:r>
      <w:r w:rsidR="00601802" w:rsidRPr="005F3228">
        <w:rPr>
          <w:rFonts w:ascii="David" w:hAnsi="David" w:cs="David"/>
          <w:sz w:val="24"/>
          <w:szCs w:val="24"/>
          <w:rtl/>
        </w:rPr>
        <w:t xml:space="preserve">, </w:t>
      </w:r>
      <w:r w:rsidR="00601802" w:rsidRPr="005F3228">
        <w:rPr>
          <w:rFonts w:ascii="David" w:hAnsi="David" w:cs="David" w:hint="eastAsia"/>
          <w:sz w:val="24"/>
          <w:szCs w:val="24"/>
          <w:rtl/>
        </w:rPr>
        <w:t>ו</w:t>
      </w:r>
      <w:r w:rsidR="00405655" w:rsidRPr="005F3228">
        <w:rPr>
          <w:rFonts w:ascii="David" w:hAnsi="David" w:cs="David" w:hint="eastAsia"/>
          <w:sz w:val="24"/>
          <w:szCs w:val="24"/>
          <w:rtl/>
        </w:rPr>
        <w:t>למעשה</w:t>
      </w:r>
      <w:r w:rsidR="00405655" w:rsidRPr="005F3228">
        <w:rPr>
          <w:rFonts w:ascii="David" w:hAnsi="David" w:cs="David"/>
          <w:sz w:val="24"/>
          <w:szCs w:val="24"/>
          <w:rtl/>
        </w:rPr>
        <w:t xml:space="preserve">, לפי הממצאים שבידינו, </w:t>
      </w:r>
      <w:r w:rsidR="00601802" w:rsidRPr="005F3228">
        <w:rPr>
          <w:rFonts w:ascii="David" w:hAnsi="David" w:cs="David" w:hint="eastAsia"/>
          <w:sz w:val="24"/>
          <w:szCs w:val="24"/>
          <w:rtl/>
        </w:rPr>
        <w:t>מספר</w:t>
      </w:r>
      <w:r w:rsidR="00601802" w:rsidRPr="005F3228">
        <w:rPr>
          <w:rFonts w:ascii="David" w:hAnsi="David" w:cs="David"/>
          <w:sz w:val="24"/>
          <w:szCs w:val="24"/>
          <w:rtl/>
        </w:rPr>
        <w:t xml:space="preserve"> </w:t>
      </w:r>
      <w:r w:rsidR="00601802" w:rsidRPr="005F3228">
        <w:rPr>
          <w:rFonts w:ascii="David" w:hAnsi="David" w:cs="David" w:hint="eastAsia"/>
          <w:sz w:val="24"/>
          <w:szCs w:val="24"/>
          <w:rtl/>
        </w:rPr>
        <w:t>המקרים</w:t>
      </w:r>
      <w:r w:rsidR="00601802" w:rsidRPr="005F3228">
        <w:rPr>
          <w:rFonts w:ascii="David" w:hAnsi="David" w:cs="David"/>
          <w:sz w:val="24"/>
          <w:szCs w:val="24"/>
          <w:rtl/>
        </w:rPr>
        <w:t xml:space="preserve"> </w:t>
      </w:r>
      <w:r w:rsidR="00601802" w:rsidRPr="005F3228">
        <w:rPr>
          <w:rFonts w:ascii="David" w:hAnsi="David" w:cs="David" w:hint="eastAsia"/>
          <w:sz w:val="24"/>
          <w:szCs w:val="24"/>
          <w:rtl/>
        </w:rPr>
        <w:t>בהם</w:t>
      </w:r>
      <w:r w:rsidR="00601802" w:rsidRPr="005F3228">
        <w:rPr>
          <w:rFonts w:ascii="David" w:hAnsi="David" w:cs="David"/>
          <w:sz w:val="24"/>
          <w:szCs w:val="24"/>
          <w:rtl/>
        </w:rPr>
        <w:t xml:space="preserve"> </w:t>
      </w:r>
      <w:r w:rsidR="00601802" w:rsidRPr="005F3228">
        <w:rPr>
          <w:rFonts w:ascii="David" w:hAnsi="David" w:cs="David" w:hint="eastAsia"/>
          <w:sz w:val="24"/>
          <w:szCs w:val="24"/>
          <w:rtl/>
        </w:rPr>
        <w:t>ניתן</w:t>
      </w:r>
      <w:r w:rsidR="00601802" w:rsidRPr="005F3228">
        <w:rPr>
          <w:rFonts w:ascii="David" w:hAnsi="David" w:cs="David"/>
          <w:sz w:val="24"/>
          <w:szCs w:val="24"/>
          <w:rtl/>
        </w:rPr>
        <w:t xml:space="preserve"> </w:t>
      </w:r>
      <w:r w:rsidR="00601802" w:rsidRPr="005F3228">
        <w:rPr>
          <w:rFonts w:ascii="David" w:hAnsi="David" w:cs="David" w:hint="eastAsia"/>
          <w:sz w:val="24"/>
          <w:szCs w:val="24"/>
          <w:rtl/>
        </w:rPr>
        <w:t>לייחס</w:t>
      </w:r>
      <w:r w:rsidR="00601802" w:rsidRPr="005F3228">
        <w:rPr>
          <w:rFonts w:ascii="David" w:hAnsi="David" w:cs="David"/>
          <w:sz w:val="24"/>
          <w:szCs w:val="24"/>
          <w:rtl/>
        </w:rPr>
        <w:t xml:space="preserve"> </w:t>
      </w:r>
      <w:r w:rsidR="00601802" w:rsidRPr="005F3228">
        <w:rPr>
          <w:rFonts w:ascii="David" w:hAnsi="David" w:cs="David" w:hint="eastAsia"/>
          <w:sz w:val="24"/>
          <w:szCs w:val="24"/>
          <w:rtl/>
        </w:rPr>
        <w:t>ל</w:t>
      </w:r>
      <w:r w:rsidR="00EF7214" w:rsidRPr="005F3228">
        <w:rPr>
          <w:rFonts w:ascii="David" w:hAnsi="David" w:cs="David" w:hint="eastAsia"/>
          <w:sz w:val="24"/>
          <w:szCs w:val="24"/>
          <w:rtl/>
        </w:rPr>
        <w:t>בתי</w:t>
      </w:r>
      <w:r w:rsidR="00601802" w:rsidRPr="005F3228">
        <w:rPr>
          <w:rFonts w:ascii="David" w:hAnsi="David" w:cs="David"/>
          <w:sz w:val="24"/>
          <w:szCs w:val="24"/>
          <w:rtl/>
        </w:rPr>
        <w:t xml:space="preserve"> המשפט פריצת גבולות של ממש </w:t>
      </w:r>
      <w:r w:rsidR="00EF7214" w:rsidRPr="005F3228">
        <w:rPr>
          <w:rFonts w:ascii="David" w:hAnsi="David" w:cs="David" w:hint="eastAsia"/>
          <w:sz w:val="24"/>
          <w:szCs w:val="24"/>
          <w:rtl/>
        </w:rPr>
        <w:t>באופן</w:t>
      </w:r>
      <w:r w:rsidR="00EF7214" w:rsidRPr="005F3228">
        <w:rPr>
          <w:rFonts w:ascii="David" w:hAnsi="David" w:cs="David"/>
          <w:sz w:val="24"/>
          <w:szCs w:val="24"/>
          <w:rtl/>
        </w:rPr>
        <w:t xml:space="preserve"> בו יישמו את הלכת </w:t>
      </w:r>
      <w:proofErr w:type="spellStart"/>
      <w:r w:rsidR="00EF7214" w:rsidRPr="005F3228">
        <w:rPr>
          <w:rFonts w:ascii="David" w:hAnsi="David" w:cs="David"/>
          <w:sz w:val="24"/>
          <w:szCs w:val="24"/>
          <w:rtl/>
        </w:rPr>
        <w:t>א.ש.י.ר</w:t>
      </w:r>
      <w:proofErr w:type="spellEnd"/>
      <w:r w:rsidR="00EF7214" w:rsidRPr="005F3228">
        <w:rPr>
          <w:rFonts w:ascii="David" w:hAnsi="David" w:cs="David"/>
          <w:sz w:val="24"/>
          <w:szCs w:val="24"/>
          <w:rtl/>
        </w:rPr>
        <w:t xml:space="preserve">. </w:t>
      </w:r>
      <w:r w:rsidR="005324FB" w:rsidRPr="005F3228">
        <w:rPr>
          <w:rFonts w:ascii="David" w:hAnsi="David" w:cs="David" w:hint="eastAsia"/>
          <w:sz w:val="24"/>
          <w:szCs w:val="24"/>
          <w:rtl/>
        </w:rPr>
        <w:t>אינו</w:t>
      </w:r>
      <w:r w:rsidR="005324FB" w:rsidRPr="005F3228">
        <w:rPr>
          <w:rFonts w:ascii="David" w:hAnsi="David" w:cs="David"/>
          <w:sz w:val="24"/>
          <w:szCs w:val="24"/>
          <w:rtl/>
        </w:rPr>
        <w:t xml:space="preserve"> עולה על </w:t>
      </w:r>
      <w:r w:rsidR="001A313C" w:rsidRPr="005F3228">
        <w:rPr>
          <w:rFonts w:ascii="David" w:hAnsi="David" w:cs="David" w:hint="eastAsia"/>
          <w:sz w:val="24"/>
          <w:szCs w:val="24"/>
          <w:rtl/>
        </w:rPr>
        <w:t>שניים</w:t>
      </w:r>
      <w:r w:rsidR="001A313C" w:rsidRPr="005F3228">
        <w:rPr>
          <w:rFonts w:ascii="David" w:hAnsi="David" w:cs="David"/>
          <w:sz w:val="24"/>
          <w:szCs w:val="24"/>
          <w:rtl/>
        </w:rPr>
        <w:t>-</w:t>
      </w:r>
      <w:r w:rsidR="001A313C" w:rsidRPr="005F3228">
        <w:rPr>
          <w:rFonts w:ascii="David" w:hAnsi="David" w:cs="David" w:hint="eastAsia"/>
          <w:sz w:val="24"/>
          <w:szCs w:val="24"/>
          <w:rtl/>
        </w:rPr>
        <w:t>שלושה</w:t>
      </w:r>
      <w:r w:rsidR="001A313C" w:rsidRPr="005F3228">
        <w:rPr>
          <w:rFonts w:ascii="David" w:hAnsi="David" w:cs="David" w:hint="cs"/>
          <w:sz w:val="24"/>
          <w:szCs w:val="24"/>
          <w:rtl/>
        </w:rPr>
        <w:t>.</w:t>
      </w:r>
      <w:r w:rsidR="001A313C" w:rsidRPr="005F3228">
        <w:rPr>
          <w:rFonts w:ascii="David" w:hAnsi="David" w:cs="David"/>
          <w:sz w:val="24"/>
          <w:szCs w:val="24"/>
          <w:rtl/>
        </w:rPr>
        <w:t xml:space="preserve"> </w:t>
      </w:r>
    </w:p>
    <w:p w14:paraId="26351340" w14:textId="1DEADA8B" w:rsidR="00F06B36" w:rsidRPr="005F3228" w:rsidRDefault="00F06B36" w:rsidP="00AF1A1C">
      <w:pPr>
        <w:spacing w:line="300" w:lineRule="exact"/>
        <w:jc w:val="both"/>
        <w:rPr>
          <w:rFonts w:ascii="David" w:hAnsi="David" w:cs="David"/>
          <w:sz w:val="24"/>
          <w:szCs w:val="24"/>
          <w:rtl/>
        </w:rPr>
      </w:pPr>
      <w:r w:rsidRPr="005F3228">
        <w:rPr>
          <w:rFonts w:ascii="David" w:hAnsi="David" w:cs="David" w:hint="eastAsia"/>
          <w:sz w:val="24"/>
          <w:szCs w:val="24"/>
          <w:rtl/>
        </w:rPr>
        <w:t>לצד</w:t>
      </w:r>
      <w:r w:rsidRPr="005F3228">
        <w:rPr>
          <w:rFonts w:ascii="David" w:hAnsi="David" w:cs="David"/>
          <w:sz w:val="24"/>
          <w:szCs w:val="24"/>
          <w:rtl/>
        </w:rPr>
        <w:t xml:space="preserve"> </w:t>
      </w:r>
      <w:r w:rsidR="009377BF" w:rsidRPr="005F3228">
        <w:rPr>
          <w:rFonts w:ascii="David" w:hAnsi="David" w:cs="David" w:hint="cs"/>
          <w:sz w:val="24"/>
          <w:szCs w:val="24"/>
          <w:rtl/>
        </w:rPr>
        <w:t xml:space="preserve">שלוש </w:t>
      </w:r>
      <w:r w:rsidRPr="005F3228">
        <w:rPr>
          <w:rFonts w:ascii="David" w:hAnsi="David" w:cs="David"/>
          <w:sz w:val="24"/>
          <w:szCs w:val="24"/>
          <w:rtl/>
        </w:rPr>
        <w:t xml:space="preserve">קטגוריות אלה, נעשה לאחרונה שימוש נוסף, ומפתיע, </w:t>
      </w:r>
      <w:r w:rsidR="00626B80" w:rsidRPr="005F3228">
        <w:rPr>
          <w:rFonts w:ascii="David" w:hAnsi="David" w:cs="David" w:hint="cs"/>
          <w:sz w:val="24"/>
          <w:szCs w:val="24"/>
          <w:rtl/>
        </w:rPr>
        <w:t>בדיני עשיית עושר ולא במשפט</w:t>
      </w:r>
      <w:r w:rsidRPr="005F3228">
        <w:rPr>
          <w:rFonts w:ascii="David" w:hAnsi="David" w:cs="David"/>
          <w:sz w:val="24"/>
          <w:szCs w:val="24"/>
          <w:rtl/>
        </w:rPr>
        <w:t xml:space="preserve"> בהקשר </w:t>
      </w:r>
      <w:r w:rsidRPr="005F3228">
        <w:rPr>
          <w:rFonts w:ascii="David" w:hAnsi="David" w:cs="David" w:hint="eastAsia"/>
          <w:sz w:val="24"/>
          <w:szCs w:val="24"/>
          <w:rtl/>
        </w:rPr>
        <w:t>הנוגע</w:t>
      </w:r>
      <w:r w:rsidRPr="005F3228">
        <w:rPr>
          <w:rFonts w:ascii="David" w:hAnsi="David" w:cs="David"/>
          <w:sz w:val="24"/>
          <w:szCs w:val="24"/>
          <w:rtl/>
        </w:rPr>
        <w:t xml:space="preserve"> </w:t>
      </w:r>
      <w:r w:rsidRPr="005F3228">
        <w:rPr>
          <w:rFonts w:ascii="David" w:hAnsi="David" w:cs="David" w:hint="eastAsia"/>
          <w:sz w:val="24"/>
          <w:szCs w:val="24"/>
          <w:rtl/>
        </w:rPr>
        <w:t>לקניין</w:t>
      </w:r>
      <w:r w:rsidRPr="005F3228">
        <w:rPr>
          <w:rFonts w:ascii="David" w:hAnsi="David" w:cs="David"/>
          <w:sz w:val="24"/>
          <w:szCs w:val="24"/>
          <w:rtl/>
        </w:rPr>
        <w:t xml:space="preserve"> </w:t>
      </w:r>
      <w:r w:rsidRPr="005F3228">
        <w:rPr>
          <w:rFonts w:ascii="David" w:hAnsi="David" w:cs="David" w:hint="eastAsia"/>
          <w:sz w:val="24"/>
          <w:szCs w:val="24"/>
          <w:rtl/>
        </w:rPr>
        <w:t>רוחני</w:t>
      </w:r>
      <w:r w:rsidRPr="005F3228">
        <w:rPr>
          <w:rFonts w:ascii="David" w:hAnsi="David" w:cs="David"/>
          <w:sz w:val="24"/>
          <w:szCs w:val="24"/>
          <w:rtl/>
        </w:rPr>
        <w:t xml:space="preserve">, </w:t>
      </w:r>
      <w:r w:rsidR="00AF1A1C" w:rsidRPr="005F3228">
        <w:rPr>
          <w:rFonts w:ascii="David" w:hAnsi="David" w:cs="David" w:hint="cs"/>
          <w:sz w:val="24"/>
          <w:szCs w:val="24"/>
          <w:rtl/>
        </w:rPr>
        <w:t>בהחלטה</w:t>
      </w:r>
      <w:r w:rsidRPr="005F3228">
        <w:rPr>
          <w:rFonts w:ascii="David" w:hAnsi="David" w:cs="David"/>
          <w:sz w:val="24"/>
          <w:szCs w:val="24"/>
          <w:rtl/>
        </w:rPr>
        <w:t xml:space="preserve"> </w:t>
      </w:r>
      <w:r w:rsidR="00AF1A1C" w:rsidRPr="005F3228">
        <w:rPr>
          <w:rFonts w:ascii="David" w:hAnsi="David" w:cs="David"/>
          <w:sz w:val="24"/>
          <w:szCs w:val="24"/>
          <w:rtl/>
        </w:rPr>
        <w:t>שנית</w:t>
      </w:r>
      <w:r w:rsidR="00AF1A1C" w:rsidRPr="005F3228">
        <w:rPr>
          <w:rFonts w:ascii="David" w:hAnsi="David" w:cs="David" w:hint="cs"/>
          <w:sz w:val="24"/>
          <w:szCs w:val="24"/>
          <w:rtl/>
        </w:rPr>
        <w:t>נה</w:t>
      </w:r>
      <w:r w:rsidR="00AF1A1C" w:rsidRPr="005F3228">
        <w:rPr>
          <w:rFonts w:ascii="David" w:hAnsi="David" w:cs="David"/>
          <w:sz w:val="24"/>
          <w:szCs w:val="24"/>
          <w:rtl/>
        </w:rPr>
        <w:t xml:space="preserve"> </w:t>
      </w:r>
      <w:r w:rsidRPr="005F3228">
        <w:rPr>
          <w:rFonts w:ascii="David" w:hAnsi="David" w:cs="David"/>
          <w:sz w:val="24"/>
          <w:szCs w:val="24"/>
          <w:rtl/>
        </w:rPr>
        <w:t xml:space="preserve">בפרשת </w:t>
      </w:r>
      <w:r w:rsidRPr="005F3228">
        <w:rPr>
          <w:rFonts w:ascii="David" w:hAnsi="David" w:cs="David"/>
          <w:b/>
          <w:bCs/>
          <w:sz w:val="24"/>
          <w:szCs w:val="24"/>
          <w:rtl/>
        </w:rPr>
        <w:t>אוניפארם</w:t>
      </w:r>
      <w:r w:rsidR="004C171C" w:rsidRPr="005F3228">
        <w:rPr>
          <w:rFonts w:ascii="David" w:hAnsi="David" w:cs="David" w:hint="cs"/>
          <w:b/>
          <w:bCs/>
          <w:sz w:val="24"/>
          <w:szCs w:val="24"/>
          <w:rtl/>
        </w:rPr>
        <w:t xml:space="preserve"> נ' </w:t>
      </w:r>
      <w:r w:rsidR="004C171C" w:rsidRPr="005F3228">
        <w:rPr>
          <w:rFonts w:ascii="David" w:hAnsi="David" w:cs="David"/>
          <w:b/>
          <w:bCs/>
          <w:sz w:val="24"/>
          <w:szCs w:val="24"/>
        </w:rPr>
        <w:t>Sanofi</w:t>
      </w:r>
      <w:r w:rsidRPr="005F3228">
        <w:rPr>
          <w:rFonts w:ascii="David" w:hAnsi="David" w:cs="David"/>
          <w:sz w:val="24"/>
          <w:szCs w:val="24"/>
          <w:rtl/>
        </w:rPr>
        <w:t>.</w:t>
      </w:r>
      <w:bookmarkStart w:id="12" w:name="_Ref28466237"/>
      <w:r w:rsidRPr="005F3228">
        <w:rPr>
          <w:rStyle w:val="FootnoteReference"/>
          <w:rFonts w:ascii="David" w:hAnsi="David" w:cs="David"/>
          <w:sz w:val="24"/>
          <w:szCs w:val="24"/>
          <w:rtl/>
        </w:rPr>
        <w:footnoteReference w:id="19"/>
      </w:r>
      <w:bookmarkEnd w:id="12"/>
      <w:r w:rsidRPr="005F3228">
        <w:rPr>
          <w:rFonts w:ascii="David" w:hAnsi="David" w:cs="David"/>
          <w:sz w:val="24"/>
          <w:szCs w:val="24"/>
          <w:rtl/>
        </w:rPr>
        <w:t xml:space="preserve"> באותו מקרה נקבע כי הארכת תקופת המונופולין בפטנט שלא כדין על ידי חברת תרופות, באופן שגרם לעיכוב כניסת מתחרים גנריים לשוק, עשוי לזכות את המתחרה ברווחי בעל הפטנט בתקופת ה"חסימה", </w:t>
      </w:r>
      <w:proofErr w:type="spellStart"/>
      <w:r w:rsidRPr="005F3228">
        <w:rPr>
          <w:rFonts w:ascii="David" w:hAnsi="David" w:cs="David"/>
          <w:sz w:val="24"/>
          <w:szCs w:val="24"/>
          <w:rtl/>
        </w:rPr>
        <w:t>מכח</w:t>
      </w:r>
      <w:proofErr w:type="spellEnd"/>
      <w:r w:rsidRPr="005F3228">
        <w:rPr>
          <w:rFonts w:ascii="David" w:hAnsi="David" w:cs="David"/>
          <w:sz w:val="24"/>
          <w:szCs w:val="24"/>
          <w:rtl/>
        </w:rPr>
        <w:t xml:space="preserve"> דיני עשיית עושר</w:t>
      </w:r>
      <w:r w:rsidR="009C43BA" w:rsidRPr="005F3228">
        <w:rPr>
          <w:rFonts w:ascii="David" w:hAnsi="David" w:cs="David" w:hint="cs"/>
          <w:sz w:val="24"/>
          <w:szCs w:val="24"/>
          <w:rtl/>
        </w:rPr>
        <w:t xml:space="preserve"> ולא במשפט</w:t>
      </w:r>
      <w:r w:rsidRPr="005F3228">
        <w:rPr>
          <w:rFonts w:ascii="David" w:hAnsi="David" w:cs="David"/>
          <w:sz w:val="24"/>
          <w:szCs w:val="24"/>
          <w:rtl/>
        </w:rPr>
        <w:t xml:space="preserve">. </w:t>
      </w:r>
      <w:r w:rsidR="00AF1A1C" w:rsidRPr="005F3228">
        <w:rPr>
          <w:rFonts w:ascii="David" w:hAnsi="David" w:cs="David" w:hint="cs"/>
          <w:sz w:val="24"/>
          <w:szCs w:val="24"/>
          <w:rtl/>
        </w:rPr>
        <w:t>ההחלטה היא</w:t>
      </w:r>
      <w:r w:rsidRPr="005F3228">
        <w:rPr>
          <w:rFonts w:ascii="David" w:hAnsi="David" w:cs="David"/>
          <w:sz w:val="24"/>
          <w:szCs w:val="24"/>
          <w:rtl/>
        </w:rPr>
        <w:t xml:space="preserve"> </w:t>
      </w:r>
      <w:r w:rsidR="004431E0" w:rsidRPr="005F3228">
        <w:rPr>
          <w:rFonts w:ascii="David" w:hAnsi="David" w:cs="David" w:hint="cs"/>
          <w:sz w:val="24"/>
          <w:szCs w:val="24"/>
          <w:rtl/>
        </w:rPr>
        <w:t xml:space="preserve">אפוא </w:t>
      </w:r>
      <w:r w:rsidRPr="005F3228">
        <w:rPr>
          <w:rFonts w:ascii="David" w:hAnsi="David" w:cs="David"/>
          <w:sz w:val="24"/>
          <w:szCs w:val="24"/>
          <w:rtl/>
        </w:rPr>
        <w:t xml:space="preserve">דוגמא לשימוש בעשיית עושר </w:t>
      </w:r>
      <w:r w:rsidR="006B2CF2" w:rsidRPr="005F3228">
        <w:rPr>
          <w:rFonts w:ascii="David" w:hAnsi="David" w:cs="David" w:hint="cs"/>
          <w:sz w:val="24"/>
          <w:szCs w:val="24"/>
          <w:rtl/>
        </w:rPr>
        <w:t>שלא</w:t>
      </w:r>
      <w:r w:rsidRPr="005F3228">
        <w:rPr>
          <w:rFonts w:ascii="David" w:hAnsi="David" w:cs="David"/>
          <w:sz w:val="24"/>
          <w:szCs w:val="24"/>
          <w:rtl/>
        </w:rPr>
        <w:t xml:space="preserve"> על מנת להרחיב את זכויותיו של בעל זכויות הקניין הרוחני</w:t>
      </w:r>
      <w:r w:rsidR="00EC11AF" w:rsidRPr="005F3228">
        <w:rPr>
          <w:rFonts w:ascii="David" w:hAnsi="David" w:cs="David"/>
          <w:sz w:val="24"/>
          <w:szCs w:val="24"/>
          <w:rtl/>
        </w:rPr>
        <w:t xml:space="preserve"> </w:t>
      </w:r>
      <w:r w:rsidRPr="005F3228">
        <w:rPr>
          <w:rFonts w:ascii="David" w:hAnsi="David" w:cs="David"/>
          <w:sz w:val="24"/>
          <w:szCs w:val="24"/>
          <w:rtl/>
        </w:rPr>
        <w:t>אלא דווקא על מנת להגביל ולצמצם אותן</w:t>
      </w:r>
      <w:r w:rsidR="00EC11AF" w:rsidRPr="005F3228">
        <w:rPr>
          <w:rFonts w:ascii="David" w:hAnsi="David" w:cs="David"/>
          <w:sz w:val="24"/>
          <w:szCs w:val="24"/>
          <w:rtl/>
        </w:rPr>
        <w:t xml:space="preserve">, </w:t>
      </w:r>
      <w:r w:rsidR="00EC11AF" w:rsidRPr="005F3228">
        <w:rPr>
          <w:rFonts w:ascii="David" w:hAnsi="David" w:cs="David" w:hint="eastAsia"/>
          <w:sz w:val="24"/>
          <w:szCs w:val="24"/>
          <w:rtl/>
        </w:rPr>
        <w:t>תוך</w:t>
      </w:r>
      <w:r w:rsidR="00EC11AF" w:rsidRPr="005F3228">
        <w:rPr>
          <w:rFonts w:ascii="David" w:hAnsi="David" w:cs="David"/>
          <w:sz w:val="24"/>
          <w:szCs w:val="24"/>
          <w:rtl/>
        </w:rPr>
        <w:t xml:space="preserve"> </w:t>
      </w:r>
      <w:r w:rsidR="00EC11AF" w:rsidRPr="005F3228">
        <w:rPr>
          <w:rFonts w:ascii="David" w:hAnsi="David" w:cs="David" w:hint="eastAsia"/>
          <w:sz w:val="24"/>
          <w:szCs w:val="24"/>
          <w:rtl/>
        </w:rPr>
        <w:t>הרח</w:t>
      </w:r>
      <w:r w:rsidR="004C46D2" w:rsidRPr="005F3228">
        <w:rPr>
          <w:rFonts w:ascii="David" w:hAnsi="David" w:cs="David" w:hint="eastAsia"/>
          <w:sz w:val="24"/>
          <w:szCs w:val="24"/>
          <w:rtl/>
        </w:rPr>
        <w:t>ב</w:t>
      </w:r>
      <w:r w:rsidR="00EC11AF" w:rsidRPr="005F3228">
        <w:rPr>
          <w:rFonts w:ascii="David" w:hAnsi="David" w:cs="David" w:hint="eastAsia"/>
          <w:sz w:val="24"/>
          <w:szCs w:val="24"/>
          <w:rtl/>
        </w:rPr>
        <w:t>ת</w:t>
      </w:r>
      <w:r w:rsidR="00EC11AF" w:rsidRPr="005F3228">
        <w:rPr>
          <w:rFonts w:ascii="David" w:hAnsi="David" w:cs="David"/>
          <w:sz w:val="24"/>
          <w:szCs w:val="24"/>
          <w:rtl/>
        </w:rPr>
        <w:t xml:space="preserve"> </w:t>
      </w:r>
      <w:r w:rsidR="00EC11AF" w:rsidRPr="005F3228">
        <w:rPr>
          <w:rFonts w:ascii="David" w:hAnsi="David" w:cs="David" w:hint="eastAsia"/>
          <w:sz w:val="24"/>
          <w:szCs w:val="24"/>
          <w:rtl/>
        </w:rPr>
        <w:t>חופש</w:t>
      </w:r>
      <w:r w:rsidR="00EC11AF" w:rsidRPr="005F3228">
        <w:rPr>
          <w:rFonts w:ascii="David" w:hAnsi="David" w:cs="David"/>
          <w:sz w:val="24"/>
          <w:szCs w:val="24"/>
          <w:rtl/>
        </w:rPr>
        <w:t xml:space="preserve"> </w:t>
      </w:r>
      <w:r w:rsidR="00EC11AF" w:rsidRPr="005F3228">
        <w:rPr>
          <w:rFonts w:ascii="David" w:hAnsi="David" w:cs="David" w:hint="eastAsia"/>
          <w:sz w:val="24"/>
          <w:szCs w:val="24"/>
          <w:rtl/>
        </w:rPr>
        <w:t>הפעולה</w:t>
      </w:r>
      <w:r w:rsidR="00EC11AF" w:rsidRPr="005F3228">
        <w:rPr>
          <w:rFonts w:ascii="David" w:hAnsi="David" w:cs="David"/>
          <w:sz w:val="24"/>
          <w:szCs w:val="24"/>
          <w:rtl/>
        </w:rPr>
        <w:t xml:space="preserve"> </w:t>
      </w:r>
      <w:r w:rsidR="00EC11AF" w:rsidRPr="005F3228">
        <w:rPr>
          <w:rFonts w:ascii="David" w:hAnsi="David" w:cs="David" w:hint="eastAsia"/>
          <w:sz w:val="24"/>
          <w:szCs w:val="24"/>
          <w:rtl/>
        </w:rPr>
        <w:t>של</w:t>
      </w:r>
      <w:r w:rsidR="00EC11AF" w:rsidRPr="005F3228">
        <w:rPr>
          <w:rFonts w:ascii="David" w:hAnsi="David" w:cs="David"/>
          <w:sz w:val="24"/>
          <w:szCs w:val="24"/>
          <w:rtl/>
        </w:rPr>
        <w:t xml:space="preserve"> </w:t>
      </w:r>
      <w:r w:rsidR="00EC11AF" w:rsidRPr="005F3228">
        <w:rPr>
          <w:rFonts w:ascii="David" w:hAnsi="David" w:cs="David" w:hint="eastAsia"/>
          <w:sz w:val="24"/>
          <w:szCs w:val="24"/>
          <w:rtl/>
        </w:rPr>
        <w:t>צדדים</w:t>
      </w:r>
      <w:r w:rsidR="00EC11AF" w:rsidRPr="005F3228">
        <w:rPr>
          <w:rFonts w:ascii="David" w:hAnsi="David" w:cs="David"/>
          <w:sz w:val="24"/>
          <w:szCs w:val="24"/>
          <w:rtl/>
        </w:rPr>
        <w:t xml:space="preserve"> </w:t>
      </w:r>
      <w:r w:rsidR="00EC11AF" w:rsidRPr="005F3228">
        <w:rPr>
          <w:rFonts w:ascii="David" w:hAnsi="David" w:cs="David" w:hint="eastAsia"/>
          <w:sz w:val="24"/>
          <w:szCs w:val="24"/>
          <w:rtl/>
        </w:rPr>
        <w:t>שלישיים</w:t>
      </w:r>
      <w:r w:rsidRPr="005F3228">
        <w:rPr>
          <w:rFonts w:ascii="David" w:hAnsi="David" w:cs="David"/>
          <w:sz w:val="24"/>
          <w:szCs w:val="24"/>
          <w:rtl/>
        </w:rPr>
        <w:t>.</w:t>
      </w:r>
      <w:r w:rsidRPr="005F3228">
        <w:rPr>
          <w:rStyle w:val="FootnoteReference"/>
          <w:rFonts w:ascii="David" w:hAnsi="David" w:cs="David"/>
          <w:sz w:val="24"/>
          <w:szCs w:val="24"/>
          <w:rtl/>
        </w:rPr>
        <w:footnoteReference w:id="20"/>
      </w:r>
      <w:r w:rsidR="00C50D90" w:rsidRPr="005F3228">
        <w:rPr>
          <w:rFonts w:ascii="David" w:hAnsi="David" w:cs="David" w:hint="cs"/>
          <w:sz w:val="24"/>
          <w:szCs w:val="24"/>
          <w:rtl/>
        </w:rPr>
        <w:t xml:space="preserve"> </w:t>
      </w:r>
    </w:p>
    <w:p w14:paraId="5D303BEA" w14:textId="77777777" w:rsidR="00205D92" w:rsidRPr="005F3228" w:rsidRDefault="00FB641E" w:rsidP="00F81012">
      <w:pPr>
        <w:spacing w:line="300" w:lineRule="exact"/>
        <w:jc w:val="both"/>
        <w:rPr>
          <w:rFonts w:ascii="David" w:hAnsi="David" w:cs="David"/>
          <w:sz w:val="24"/>
          <w:szCs w:val="24"/>
          <w:rtl/>
        </w:rPr>
      </w:pPr>
      <w:r w:rsidRPr="005F3228">
        <w:rPr>
          <w:rFonts w:ascii="David" w:hAnsi="David" w:cs="David" w:hint="cs"/>
          <w:sz w:val="24"/>
          <w:szCs w:val="24"/>
          <w:rtl/>
        </w:rPr>
        <w:lastRenderedPageBreak/>
        <w:t xml:space="preserve">ממצאי המחקר אינם </w:t>
      </w:r>
      <w:r w:rsidR="00205D92" w:rsidRPr="005F3228">
        <w:rPr>
          <w:rFonts w:ascii="David" w:hAnsi="David" w:cs="David"/>
          <w:sz w:val="24"/>
          <w:szCs w:val="24"/>
          <w:rtl/>
        </w:rPr>
        <w:t>יכול</w:t>
      </w:r>
      <w:r w:rsidRPr="005F3228">
        <w:rPr>
          <w:rFonts w:ascii="David" w:hAnsi="David" w:cs="David" w:hint="cs"/>
          <w:sz w:val="24"/>
          <w:szCs w:val="24"/>
          <w:rtl/>
        </w:rPr>
        <w:t>ים</w:t>
      </w:r>
      <w:r w:rsidR="00205D92" w:rsidRPr="005F3228">
        <w:rPr>
          <w:rFonts w:ascii="David" w:hAnsi="David" w:cs="David"/>
          <w:sz w:val="24"/>
          <w:szCs w:val="24"/>
          <w:rtl/>
        </w:rPr>
        <w:t xml:space="preserve"> לשלול לחלוטין קיומו של אפקט מצנן בעקבות הלכת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00205D92" w:rsidRPr="005F3228">
        <w:rPr>
          <w:rFonts w:ascii="David" w:hAnsi="David" w:cs="David"/>
          <w:sz w:val="24"/>
          <w:szCs w:val="24"/>
          <w:rtl/>
        </w:rPr>
        <w:t xml:space="preserve"> יחד עם זאת, ה</w:t>
      </w:r>
      <w:r w:rsidRPr="005F3228">
        <w:rPr>
          <w:rFonts w:ascii="David" w:hAnsi="David" w:cs="David" w:hint="cs"/>
          <w:sz w:val="24"/>
          <w:szCs w:val="24"/>
          <w:rtl/>
        </w:rPr>
        <w:t xml:space="preserve">ם </w:t>
      </w:r>
      <w:r w:rsidR="00205D92" w:rsidRPr="005F3228">
        <w:rPr>
          <w:rFonts w:ascii="David" w:hAnsi="David" w:cs="David"/>
          <w:sz w:val="24"/>
          <w:szCs w:val="24"/>
          <w:rtl/>
        </w:rPr>
        <w:t>מפיג</w:t>
      </w:r>
      <w:r w:rsidRPr="005F3228">
        <w:rPr>
          <w:rFonts w:ascii="David" w:hAnsi="David" w:cs="David" w:hint="cs"/>
          <w:sz w:val="24"/>
          <w:szCs w:val="24"/>
          <w:rtl/>
        </w:rPr>
        <w:t>ים</w:t>
      </w:r>
      <w:r w:rsidR="00205D92" w:rsidRPr="005F3228">
        <w:rPr>
          <w:rFonts w:ascii="David" w:hAnsi="David" w:cs="David"/>
          <w:sz w:val="24"/>
          <w:szCs w:val="24"/>
          <w:rtl/>
        </w:rPr>
        <w:t xml:space="preserve">, במידה רבה, את החששות כי ההלכה יצרה "פריצת גבולות", כאוס, או חוסר וודאות משמעותי בדיני הקניין הרוחני. התמונה המצטיירת היא כי בתי המשפט משתמשים בהלכה באופן מדוד ומרוסן, כמכשיר ל"כיול" הדין ולמילוי חוסרים בהקשרים בהם נדרשת גמישות לשם גישור בין החוק לבין המציאות הדינאמית, </w:t>
      </w:r>
      <w:r w:rsidR="00405655" w:rsidRPr="005F3228">
        <w:rPr>
          <w:rFonts w:ascii="David" w:hAnsi="David" w:cs="David"/>
          <w:sz w:val="24"/>
          <w:szCs w:val="24"/>
          <w:rtl/>
        </w:rPr>
        <w:t xml:space="preserve">והכל מבלי לפגוע פגיעה קשה בוודאות או בגבולות הדין. </w:t>
      </w:r>
      <w:r w:rsidR="00405655" w:rsidRPr="005F3228">
        <w:rPr>
          <w:rFonts w:ascii="David" w:hAnsi="David" w:cs="David" w:hint="cs"/>
          <w:sz w:val="24"/>
          <w:szCs w:val="24"/>
          <w:rtl/>
        </w:rPr>
        <w:t xml:space="preserve">יותר מכך, הגמישות </w:t>
      </w:r>
      <w:r w:rsidR="00626B80" w:rsidRPr="005F3228">
        <w:rPr>
          <w:rFonts w:ascii="David" w:hAnsi="David" w:cs="David" w:hint="cs"/>
          <w:sz w:val="24"/>
          <w:szCs w:val="24"/>
          <w:rtl/>
        </w:rPr>
        <w:t>שמאפשרים דיני עשיית עושר</w:t>
      </w:r>
      <w:r w:rsidR="00405655" w:rsidRPr="005F3228">
        <w:rPr>
          <w:rFonts w:ascii="David" w:hAnsi="David" w:cs="David" w:hint="cs"/>
          <w:sz w:val="24"/>
          <w:szCs w:val="24"/>
          <w:rtl/>
        </w:rPr>
        <w:t xml:space="preserve"> יכולה ל</w:t>
      </w:r>
      <w:r w:rsidR="0015513D" w:rsidRPr="005F3228">
        <w:rPr>
          <w:rFonts w:ascii="David" w:hAnsi="David" w:cs="David" w:hint="cs"/>
          <w:sz w:val="24"/>
          <w:szCs w:val="24"/>
          <w:rtl/>
        </w:rPr>
        <w:t>עיתים ל</w:t>
      </w:r>
      <w:r w:rsidR="00405655" w:rsidRPr="005F3228">
        <w:rPr>
          <w:rFonts w:ascii="David" w:hAnsi="David" w:cs="David" w:hint="cs"/>
          <w:sz w:val="24"/>
          <w:szCs w:val="24"/>
          <w:rtl/>
        </w:rPr>
        <w:t xml:space="preserve">היות מנוצלת גם </w:t>
      </w:r>
      <w:r w:rsidR="00394D34" w:rsidRPr="005F3228">
        <w:rPr>
          <w:rFonts w:ascii="David" w:hAnsi="David" w:cs="David" w:hint="eastAsia"/>
          <w:sz w:val="24"/>
          <w:szCs w:val="24"/>
          <w:rtl/>
        </w:rPr>
        <w:t>לשם</w:t>
      </w:r>
      <w:r w:rsidR="00394D34" w:rsidRPr="005F3228">
        <w:rPr>
          <w:rFonts w:ascii="David" w:hAnsi="David" w:cs="David"/>
          <w:sz w:val="24"/>
          <w:szCs w:val="24"/>
          <w:rtl/>
        </w:rPr>
        <w:t xml:space="preserve"> </w:t>
      </w:r>
      <w:r w:rsidR="00394D34" w:rsidRPr="005F3228">
        <w:rPr>
          <w:rFonts w:ascii="David" w:hAnsi="David" w:cs="David" w:hint="eastAsia"/>
          <w:sz w:val="24"/>
          <w:szCs w:val="24"/>
          <w:rtl/>
        </w:rPr>
        <w:t>קידום</w:t>
      </w:r>
      <w:r w:rsidR="00394D34" w:rsidRPr="005F3228">
        <w:rPr>
          <w:rFonts w:ascii="David" w:hAnsi="David" w:cs="David"/>
          <w:sz w:val="24"/>
          <w:szCs w:val="24"/>
          <w:rtl/>
        </w:rPr>
        <w:t xml:space="preserve"> </w:t>
      </w:r>
      <w:r w:rsidR="00394D34" w:rsidRPr="005F3228">
        <w:rPr>
          <w:rFonts w:ascii="David" w:hAnsi="David" w:cs="David" w:hint="eastAsia"/>
          <w:sz w:val="24"/>
          <w:szCs w:val="24"/>
          <w:rtl/>
        </w:rPr>
        <w:t>התחרות</w:t>
      </w:r>
      <w:r w:rsidR="00394D34" w:rsidRPr="005F3228">
        <w:rPr>
          <w:rFonts w:ascii="David" w:hAnsi="David" w:cs="David"/>
          <w:sz w:val="24"/>
          <w:szCs w:val="24"/>
          <w:rtl/>
        </w:rPr>
        <w:t xml:space="preserve"> </w:t>
      </w:r>
      <w:r w:rsidR="00394D34" w:rsidRPr="005F3228">
        <w:rPr>
          <w:rFonts w:ascii="David" w:hAnsi="David" w:cs="David" w:hint="eastAsia"/>
          <w:sz w:val="24"/>
          <w:szCs w:val="24"/>
          <w:rtl/>
        </w:rPr>
        <w:t>ו</w:t>
      </w:r>
      <w:r w:rsidR="00205D92" w:rsidRPr="005F3228">
        <w:rPr>
          <w:rFonts w:ascii="David" w:hAnsi="David" w:cs="David"/>
          <w:sz w:val="24"/>
          <w:szCs w:val="24"/>
          <w:rtl/>
        </w:rPr>
        <w:t>לטובת המשתמשים בתוצרים רוחניים</w:t>
      </w:r>
      <w:r w:rsidR="00405655" w:rsidRPr="005F3228">
        <w:rPr>
          <w:rFonts w:ascii="David" w:hAnsi="David" w:cs="David" w:hint="cs"/>
          <w:sz w:val="24"/>
          <w:szCs w:val="24"/>
          <w:rtl/>
        </w:rPr>
        <w:t>.</w:t>
      </w:r>
      <w:r w:rsidR="0015513D" w:rsidRPr="005F3228">
        <w:rPr>
          <w:rFonts w:ascii="David" w:hAnsi="David" w:cs="David" w:hint="cs"/>
          <w:sz w:val="24"/>
          <w:szCs w:val="24"/>
          <w:rtl/>
        </w:rPr>
        <w:t xml:space="preserve"> על רקע </w:t>
      </w:r>
      <w:r w:rsidR="00205D92" w:rsidRPr="005F3228">
        <w:rPr>
          <w:rFonts w:ascii="David" w:hAnsi="David" w:cs="David"/>
          <w:sz w:val="24"/>
          <w:szCs w:val="24"/>
          <w:rtl/>
        </w:rPr>
        <w:t xml:space="preserve">המחלוקת האופפת את הלכת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00205D92" w:rsidRPr="005F3228">
        <w:rPr>
          <w:rFonts w:ascii="David" w:hAnsi="David" w:cs="David"/>
          <w:sz w:val="24"/>
          <w:szCs w:val="24"/>
          <w:rtl/>
        </w:rPr>
        <w:t xml:space="preserve"> </w:t>
      </w:r>
      <w:r w:rsidR="0015513D" w:rsidRPr="005F3228">
        <w:rPr>
          <w:rFonts w:ascii="David" w:hAnsi="David" w:cs="David" w:hint="cs"/>
          <w:sz w:val="24"/>
          <w:szCs w:val="24"/>
          <w:rtl/>
        </w:rPr>
        <w:t>מאז מתן פסק הדין,</w:t>
      </w:r>
      <w:r w:rsidR="00205D92" w:rsidRPr="005F3228">
        <w:rPr>
          <w:rFonts w:ascii="David" w:hAnsi="David" w:cs="David"/>
          <w:sz w:val="24"/>
          <w:szCs w:val="24"/>
          <w:rtl/>
        </w:rPr>
        <w:t xml:space="preserve"> ממצאי</w:t>
      </w:r>
      <w:r w:rsidR="0015513D" w:rsidRPr="005F3228">
        <w:rPr>
          <w:rFonts w:ascii="David" w:hAnsi="David" w:cs="David" w:hint="cs"/>
          <w:sz w:val="24"/>
          <w:szCs w:val="24"/>
          <w:rtl/>
        </w:rPr>
        <w:t>ם אלה</w:t>
      </w:r>
      <w:r w:rsidR="00205D92" w:rsidRPr="005F3228">
        <w:rPr>
          <w:rFonts w:ascii="David" w:hAnsi="David" w:cs="David"/>
          <w:sz w:val="24"/>
          <w:szCs w:val="24"/>
          <w:rtl/>
        </w:rPr>
        <w:t xml:space="preserve"> עשויים לספק מידע חשוב לקובעי מדיניות, </w:t>
      </w:r>
      <w:r w:rsidR="00F81012" w:rsidRPr="005F3228">
        <w:rPr>
          <w:rFonts w:ascii="David" w:hAnsi="David" w:cs="David" w:hint="cs"/>
          <w:sz w:val="24"/>
          <w:szCs w:val="24"/>
          <w:rtl/>
        </w:rPr>
        <w:t>לשחקנים בשווקים הרלבנטיים</w:t>
      </w:r>
      <w:r w:rsidR="00205D92" w:rsidRPr="005F3228">
        <w:rPr>
          <w:rFonts w:ascii="David" w:hAnsi="David" w:cs="David"/>
          <w:sz w:val="24"/>
          <w:szCs w:val="24"/>
          <w:rtl/>
        </w:rPr>
        <w:t xml:space="preserve">, ולבתי המשפט בישראל, ולהגביר את הוודאות באשר ליחס שבין עשיית עושר לדיני הקניין הרוחני. </w:t>
      </w:r>
    </w:p>
    <w:p w14:paraId="1E776CA8" w14:textId="77777777" w:rsidR="00EA20FA" w:rsidRPr="005F3228" w:rsidRDefault="0090771D" w:rsidP="00476598">
      <w:pPr>
        <w:tabs>
          <w:tab w:val="right" w:pos="504"/>
        </w:tabs>
        <w:spacing w:line="300" w:lineRule="exact"/>
        <w:jc w:val="both"/>
        <w:rPr>
          <w:rFonts w:ascii="David" w:hAnsi="David" w:cs="David"/>
          <w:sz w:val="24"/>
          <w:szCs w:val="24"/>
          <w:rtl/>
        </w:rPr>
      </w:pPr>
      <w:r w:rsidRPr="005F3228">
        <w:rPr>
          <w:rFonts w:ascii="David" w:hAnsi="David" w:cs="David"/>
          <w:sz w:val="24"/>
          <w:szCs w:val="24"/>
          <w:rtl/>
        </w:rPr>
        <w:t xml:space="preserve">המאמר </w:t>
      </w:r>
      <w:r w:rsidR="00932BA4" w:rsidRPr="005F3228">
        <w:rPr>
          <w:rFonts w:ascii="David" w:hAnsi="David" w:cs="David"/>
          <w:sz w:val="24"/>
          <w:szCs w:val="24"/>
          <w:rtl/>
        </w:rPr>
        <w:t xml:space="preserve">בנוי </w:t>
      </w:r>
      <w:r w:rsidR="00626B80" w:rsidRPr="005F3228">
        <w:rPr>
          <w:rFonts w:ascii="David" w:hAnsi="David" w:cs="David" w:hint="cs"/>
          <w:sz w:val="24"/>
          <w:szCs w:val="24"/>
          <w:rtl/>
        </w:rPr>
        <w:t>מחמישה</w:t>
      </w:r>
      <w:r w:rsidR="00626B80" w:rsidRPr="005F3228">
        <w:rPr>
          <w:rFonts w:ascii="David" w:hAnsi="David" w:cs="David"/>
          <w:sz w:val="24"/>
          <w:szCs w:val="24"/>
          <w:rtl/>
        </w:rPr>
        <w:t xml:space="preserve"> </w:t>
      </w:r>
      <w:r w:rsidRPr="005F3228">
        <w:rPr>
          <w:rFonts w:ascii="David" w:hAnsi="David" w:cs="David"/>
          <w:sz w:val="24"/>
          <w:szCs w:val="24"/>
          <w:rtl/>
        </w:rPr>
        <w:t xml:space="preserve">חלקים. </w:t>
      </w:r>
      <w:r w:rsidR="0015513D" w:rsidRPr="005F3228">
        <w:rPr>
          <w:rFonts w:ascii="David" w:hAnsi="David" w:cs="David" w:hint="cs"/>
          <w:sz w:val="24"/>
          <w:szCs w:val="24"/>
          <w:rtl/>
        </w:rPr>
        <w:t>ה</w:t>
      </w:r>
      <w:r w:rsidR="00932BA4" w:rsidRPr="005F3228">
        <w:rPr>
          <w:rFonts w:ascii="David" w:hAnsi="David" w:cs="David"/>
          <w:sz w:val="24"/>
          <w:szCs w:val="24"/>
          <w:rtl/>
        </w:rPr>
        <w:t xml:space="preserve">חלק הראשון </w:t>
      </w:r>
      <w:r w:rsidR="0015513D" w:rsidRPr="005F3228">
        <w:rPr>
          <w:rFonts w:ascii="David" w:hAnsi="David" w:cs="David" w:hint="cs"/>
          <w:sz w:val="24"/>
          <w:szCs w:val="24"/>
          <w:rtl/>
        </w:rPr>
        <w:t>מ</w:t>
      </w:r>
      <w:r w:rsidRPr="005F3228">
        <w:rPr>
          <w:rFonts w:ascii="David" w:hAnsi="David" w:cs="David"/>
          <w:sz w:val="24"/>
          <w:szCs w:val="24"/>
          <w:rtl/>
        </w:rPr>
        <w:t xml:space="preserve">תאר את הרקע להלכת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003C3FE8" w:rsidRPr="005F3228">
        <w:rPr>
          <w:rFonts w:ascii="David" w:hAnsi="David" w:cs="David"/>
          <w:sz w:val="24"/>
          <w:szCs w:val="24"/>
          <w:rtl/>
        </w:rPr>
        <w:t xml:space="preserve"> ו</w:t>
      </w:r>
      <w:r w:rsidR="0015513D" w:rsidRPr="005F3228">
        <w:rPr>
          <w:rFonts w:ascii="David" w:hAnsi="David" w:cs="David" w:hint="cs"/>
          <w:sz w:val="24"/>
          <w:szCs w:val="24"/>
          <w:rtl/>
        </w:rPr>
        <w:t>מ</w:t>
      </w:r>
      <w:r w:rsidRPr="005F3228">
        <w:rPr>
          <w:rFonts w:ascii="David" w:hAnsi="David" w:cs="David"/>
          <w:sz w:val="24"/>
          <w:szCs w:val="24"/>
          <w:rtl/>
        </w:rPr>
        <w:t>ציג את</w:t>
      </w:r>
      <w:r w:rsidR="00D81D9D" w:rsidRPr="005F3228">
        <w:rPr>
          <w:rFonts w:ascii="David" w:hAnsi="David" w:cs="David"/>
          <w:sz w:val="24"/>
          <w:szCs w:val="24"/>
          <w:rtl/>
        </w:rPr>
        <w:t xml:space="preserve"> ההלכה </w:t>
      </w:r>
      <w:r w:rsidR="0015513D" w:rsidRPr="005F3228">
        <w:rPr>
          <w:rFonts w:ascii="David" w:hAnsi="David" w:cs="David" w:hint="cs"/>
          <w:sz w:val="24"/>
          <w:szCs w:val="24"/>
          <w:rtl/>
        </w:rPr>
        <w:t xml:space="preserve">עצמה </w:t>
      </w:r>
      <w:r w:rsidR="00D81D9D" w:rsidRPr="005F3228">
        <w:rPr>
          <w:rFonts w:ascii="David" w:hAnsi="David" w:cs="David"/>
          <w:sz w:val="24"/>
          <w:szCs w:val="24"/>
          <w:rtl/>
        </w:rPr>
        <w:t xml:space="preserve">ואת </w:t>
      </w:r>
      <w:r w:rsidR="0015513D" w:rsidRPr="005F3228">
        <w:rPr>
          <w:rFonts w:ascii="David" w:hAnsi="David" w:cs="David" w:hint="cs"/>
          <w:sz w:val="24"/>
          <w:szCs w:val="24"/>
          <w:rtl/>
        </w:rPr>
        <w:t xml:space="preserve">עיקר </w:t>
      </w:r>
      <w:r w:rsidR="00D81D9D" w:rsidRPr="005F3228">
        <w:rPr>
          <w:rFonts w:ascii="David" w:hAnsi="David" w:cs="David"/>
          <w:sz w:val="24"/>
          <w:szCs w:val="24"/>
          <w:rtl/>
        </w:rPr>
        <w:t xml:space="preserve">הביקורת עליה. </w:t>
      </w:r>
      <w:r w:rsidR="0015513D" w:rsidRPr="005F3228">
        <w:rPr>
          <w:rFonts w:ascii="David" w:hAnsi="David" w:cs="David" w:hint="cs"/>
          <w:sz w:val="24"/>
          <w:szCs w:val="24"/>
          <w:rtl/>
        </w:rPr>
        <w:t>ה</w:t>
      </w:r>
      <w:r w:rsidR="00932BA4" w:rsidRPr="005F3228">
        <w:rPr>
          <w:rFonts w:ascii="David" w:hAnsi="David" w:cs="David"/>
          <w:sz w:val="24"/>
          <w:szCs w:val="24"/>
          <w:rtl/>
        </w:rPr>
        <w:t xml:space="preserve">חלק השני </w:t>
      </w:r>
      <w:r w:rsidR="0015513D" w:rsidRPr="005F3228">
        <w:rPr>
          <w:rFonts w:ascii="David" w:hAnsi="David" w:cs="David" w:hint="cs"/>
          <w:sz w:val="24"/>
          <w:szCs w:val="24"/>
          <w:rtl/>
        </w:rPr>
        <w:t>מתאר</w:t>
      </w:r>
      <w:r w:rsidR="00932BA4" w:rsidRPr="005F3228">
        <w:rPr>
          <w:rFonts w:ascii="David" w:hAnsi="David" w:cs="David"/>
          <w:sz w:val="24"/>
          <w:szCs w:val="24"/>
          <w:rtl/>
        </w:rPr>
        <w:t xml:space="preserve"> את ה</w:t>
      </w:r>
      <w:r w:rsidR="00D81D9D" w:rsidRPr="005F3228">
        <w:rPr>
          <w:rFonts w:ascii="David" w:hAnsi="David" w:cs="David"/>
          <w:sz w:val="24"/>
          <w:szCs w:val="24"/>
          <w:rtl/>
        </w:rPr>
        <w:t xml:space="preserve">מחקר </w:t>
      </w:r>
      <w:r w:rsidR="00626B80" w:rsidRPr="005F3228">
        <w:rPr>
          <w:rFonts w:ascii="David" w:hAnsi="David" w:cs="David" w:hint="cs"/>
          <w:sz w:val="24"/>
          <w:szCs w:val="24"/>
          <w:rtl/>
        </w:rPr>
        <w:t>האמפירי הכמותי</w:t>
      </w:r>
      <w:r w:rsidR="0015513D" w:rsidRPr="005F3228">
        <w:rPr>
          <w:rFonts w:ascii="David" w:hAnsi="David" w:cs="David" w:hint="cs"/>
          <w:sz w:val="24"/>
          <w:szCs w:val="24"/>
          <w:rtl/>
        </w:rPr>
        <w:t xml:space="preserve">, תוך פירוט </w:t>
      </w:r>
      <w:r w:rsidR="0015513D" w:rsidRPr="005F3228">
        <w:rPr>
          <w:rFonts w:ascii="David" w:hAnsi="David" w:cs="David"/>
          <w:sz w:val="24"/>
          <w:szCs w:val="24"/>
          <w:rtl/>
        </w:rPr>
        <w:br/>
      </w:r>
      <w:r w:rsidR="00D81D9D" w:rsidRPr="005F3228">
        <w:rPr>
          <w:rFonts w:ascii="David" w:hAnsi="David" w:cs="David"/>
          <w:sz w:val="24"/>
          <w:szCs w:val="24"/>
          <w:rtl/>
        </w:rPr>
        <w:t xml:space="preserve">המתודולוגיה </w:t>
      </w:r>
      <w:r w:rsidR="00932BA4" w:rsidRPr="005F3228">
        <w:rPr>
          <w:rFonts w:ascii="David" w:hAnsi="David" w:cs="David"/>
          <w:sz w:val="24"/>
          <w:szCs w:val="24"/>
          <w:rtl/>
        </w:rPr>
        <w:t>ו</w:t>
      </w:r>
      <w:r w:rsidR="00D81D9D" w:rsidRPr="005F3228">
        <w:rPr>
          <w:rFonts w:ascii="David" w:hAnsi="David" w:cs="David"/>
          <w:sz w:val="24"/>
          <w:szCs w:val="24"/>
          <w:rtl/>
        </w:rPr>
        <w:t xml:space="preserve">הממצאים העיקריים. </w:t>
      </w:r>
      <w:r w:rsidR="00932BA4" w:rsidRPr="005F3228">
        <w:rPr>
          <w:rFonts w:ascii="David" w:hAnsi="David" w:cs="David"/>
          <w:sz w:val="24"/>
          <w:szCs w:val="24"/>
          <w:rtl/>
        </w:rPr>
        <w:t xml:space="preserve">החלק השלישי </w:t>
      </w:r>
      <w:r w:rsidR="00626B80" w:rsidRPr="005F3228">
        <w:rPr>
          <w:rFonts w:ascii="David" w:hAnsi="David" w:cs="David" w:hint="cs"/>
          <w:sz w:val="24"/>
          <w:szCs w:val="24"/>
          <w:rtl/>
        </w:rPr>
        <w:t xml:space="preserve">מתאר את המחקר האיכותי, הכולל מבט קרוב על פסקי הדין "דמויי </w:t>
      </w:r>
      <w:proofErr w:type="spellStart"/>
      <w:r w:rsidR="00626B80" w:rsidRPr="005F3228">
        <w:rPr>
          <w:rFonts w:ascii="David" w:hAnsi="David" w:cs="David" w:hint="cs"/>
          <w:sz w:val="24"/>
          <w:szCs w:val="24"/>
          <w:rtl/>
        </w:rPr>
        <w:t>א.ש.י.ר</w:t>
      </w:r>
      <w:proofErr w:type="spellEnd"/>
      <w:r w:rsidR="00626B80" w:rsidRPr="005F3228">
        <w:rPr>
          <w:rFonts w:ascii="David" w:hAnsi="David" w:cs="David" w:hint="cs"/>
          <w:sz w:val="24"/>
          <w:szCs w:val="24"/>
          <w:rtl/>
        </w:rPr>
        <w:t>", וחלוקתם לקטגוריות. החלק הרביעי כולל</w:t>
      </w:r>
      <w:r w:rsidR="00626B80" w:rsidRPr="005F3228">
        <w:rPr>
          <w:rFonts w:ascii="David" w:hAnsi="David" w:cs="David"/>
          <w:sz w:val="24"/>
          <w:szCs w:val="24"/>
          <w:rtl/>
        </w:rPr>
        <w:t xml:space="preserve"> </w:t>
      </w:r>
      <w:r w:rsidR="00D81D9D" w:rsidRPr="005F3228">
        <w:rPr>
          <w:rFonts w:ascii="David" w:hAnsi="David" w:cs="David"/>
          <w:sz w:val="24"/>
          <w:szCs w:val="24"/>
          <w:rtl/>
        </w:rPr>
        <w:t xml:space="preserve">דיון </w:t>
      </w:r>
      <w:r w:rsidR="00626B80" w:rsidRPr="005F3228">
        <w:rPr>
          <w:rFonts w:ascii="David" w:hAnsi="David" w:cs="David" w:hint="cs"/>
          <w:sz w:val="24"/>
          <w:szCs w:val="24"/>
          <w:rtl/>
        </w:rPr>
        <w:t>ב</w:t>
      </w:r>
      <w:r w:rsidR="00D81D9D" w:rsidRPr="005F3228">
        <w:rPr>
          <w:rFonts w:ascii="David" w:hAnsi="David" w:cs="David"/>
          <w:sz w:val="24"/>
          <w:szCs w:val="24"/>
          <w:rtl/>
        </w:rPr>
        <w:t xml:space="preserve">ממצאים האמפיריים והערכה נורמטיבית. </w:t>
      </w:r>
      <w:r w:rsidR="00932BA4" w:rsidRPr="005F3228">
        <w:rPr>
          <w:rFonts w:ascii="David" w:hAnsi="David" w:cs="David"/>
          <w:sz w:val="24"/>
          <w:szCs w:val="24"/>
          <w:rtl/>
        </w:rPr>
        <w:t xml:space="preserve">לבסוף נסכם. </w:t>
      </w:r>
    </w:p>
    <w:p w14:paraId="66902B0B" w14:textId="77777777" w:rsidR="007A61FC" w:rsidRPr="005F3228" w:rsidRDefault="005025EC" w:rsidP="00A0492B">
      <w:pPr>
        <w:pStyle w:val="Heading1"/>
        <w:numPr>
          <w:ilvl w:val="0"/>
          <w:numId w:val="6"/>
        </w:numPr>
        <w:ind w:left="296"/>
        <w:rPr>
          <w:rFonts w:ascii="David" w:hAnsi="David" w:cs="David"/>
          <w:sz w:val="24"/>
          <w:szCs w:val="24"/>
          <w:rtl/>
        </w:rPr>
      </w:pPr>
      <w:bookmarkStart w:id="13" w:name="_Toc28175976"/>
      <w:r w:rsidRPr="005F3228">
        <w:rPr>
          <w:rFonts w:ascii="David" w:hAnsi="David" w:cs="David"/>
          <w:sz w:val="24"/>
          <w:szCs w:val="24"/>
          <w:rtl/>
        </w:rPr>
        <w:t xml:space="preserve">הלכת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bookmarkEnd w:id="13"/>
      <w:r w:rsidRPr="005F3228">
        <w:rPr>
          <w:rFonts w:ascii="David" w:hAnsi="David" w:cs="David"/>
          <w:sz w:val="24"/>
          <w:szCs w:val="24"/>
          <w:rtl/>
        </w:rPr>
        <w:t xml:space="preserve"> </w:t>
      </w:r>
    </w:p>
    <w:p w14:paraId="43D01FCF" w14:textId="77777777" w:rsidR="00601802" w:rsidRPr="005F3228" w:rsidRDefault="00601802" w:rsidP="00A0492B">
      <w:pPr>
        <w:pStyle w:val="Heading2"/>
        <w:numPr>
          <w:ilvl w:val="0"/>
          <w:numId w:val="7"/>
        </w:numPr>
        <w:ind w:left="296"/>
        <w:rPr>
          <w:rFonts w:ascii="David" w:eastAsiaTheme="minorHAnsi" w:hAnsi="David" w:cs="David"/>
          <w:b/>
          <w:bCs/>
          <w:color w:val="auto"/>
          <w:sz w:val="24"/>
          <w:szCs w:val="24"/>
          <w:rtl/>
        </w:rPr>
      </w:pPr>
      <w:bookmarkStart w:id="14" w:name="_Toc28175977"/>
      <w:r w:rsidRPr="005F3228">
        <w:rPr>
          <w:rFonts w:ascii="David" w:eastAsiaTheme="minorHAnsi" w:hAnsi="David" w:cs="David" w:hint="cs"/>
          <w:b/>
          <w:bCs/>
          <w:color w:val="auto"/>
          <w:sz w:val="24"/>
          <w:szCs w:val="24"/>
          <w:rtl/>
        </w:rPr>
        <w:t>קניין רוחני וסוגית ההסדר השלילי</w:t>
      </w:r>
      <w:bookmarkEnd w:id="14"/>
      <w:r w:rsidRPr="005F3228">
        <w:rPr>
          <w:rFonts w:ascii="David" w:eastAsiaTheme="minorHAnsi" w:hAnsi="David" w:cs="David" w:hint="cs"/>
          <w:b/>
          <w:bCs/>
          <w:color w:val="auto"/>
          <w:sz w:val="24"/>
          <w:szCs w:val="24"/>
          <w:rtl/>
        </w:rPr>
        <w:t xml:space="preserve"> </w:t>
      </w:r>
    </w:p>
    <w:p w14:paraId="226127BC" w14:textId="77777777" w:rsidR="001174B4" w:rsidRPr="005F3228" w:rsidRDefault="00550281" w:rsidP="0015513D">
      <w:pPr>
        <w:spacing w:line="300" w:lineRule="exact"/>
        <w:jc w:val="both"/>
        <w:rPr>
          <w:rFonts w:ascii="David" w:hAnsi="David" w:cs="David"/>
          <w:sz w:val="24"/>
          <w:szCs w:val="24"/>
          <w:rtl/>
        </w:rPr>
      </w:pPr>
      <w:r w:rsidRPr="005F3228">
        <w:rPr>
          <w:rFonts w:ascii="David" w:hAnsi="David" w:cs="David"/>
          <w:sz w:val="24"/>
          <w:szCs w:val="24"/>
          <w:rtl/>
        </w:rPr>
        <w:t xml:space="preserve">הלכת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Pr="005F3228">
        <w:rPr>
          <w:rFonts w:ascii="David" w:hAnsi="David" w:cs="David"/>
          <w:sz w:val="24"/>
          <w:szCs w:val="24"/>
          <w:rtl/>
        </w:rPr>
        <w:t xml:space="preserve"> עוסקת</w:t>
      </w:r>
      <w:r w:rsidR="00BC54DE" w:rsidRPr="005F3228">
        <w:rPr>
          <w:rFonts w:ascii="David" w:hAnsi="David" w:cs="David"/>
          <w:sz w:val="24"/>
          <w:szCs w:val="24"/>
          <w:rtl/>
        </w:rPr>
        <w:t xml:space="preserve"> </w:t>
      </w:r>
      <w:r w:rsidR="006630DE" w:rsidRPr="005F3228">
        <w:rPr>
          <w:rFonts w:ascii="David" w:hAnsi="David" w:cs="David"/>
          <w:sz w:val="24"/>
          <w:szCs w:val="24"/>
          <w:rtl/>
        </w:rPr>
        <w:t xml:space="preserve">בממשק בין דיני הקניין הרוחני לבין דיני עשיית עושר. </w:t>
      </w:r>
      <w:r w:rsidR="00414D3C" w:rsidRPr="005F3228">
        <w:rPr>
          <w:rFonts w:ascii="David" w:hAnsi="David" w:cs="David"/>
          <w:sz w:val="24"/>
          <w:szCs w:val="24"/>
          <w:rtl/>
        </w:rPr>
        <w:t xml:space="preserve">דיני הקניין </w:t>
      </w:r>
      <w:r w:rsidRPr="005F3228">
        <w:rPr>
          <w:rFonts w:ascii="David" w:hAnsi="David" w:cs="David"/>
          <w:sz w:val="24"/>
          <w:szCs w:val="24"/>
          <w:rtl/>
        </w:rPr>
        <w:t xml:space="preserve">הרוחני מסדירים </w:t>
      </w:r>
      <w:r w:rsidR="006630DE" w:rsidRPr="005F3228">
        <w:rPr>
          <w:rFonts w:ascii="David" w:hAnsi="David" w:cs="David"/>
          <w:sz w:val="24"/>
          <w:szCs w:val="24"/>
          <w:rtl/>
        </w:rPr>
        <w:t xml:space="preserve">מצבים </w:t>
      </w:r>
      <w:r w:rsidR="00FB49E6" w:rsidRPr="005F3228">
        <w:rPr>
          <w:rFonts w:ascii="David" w:hAnsi="David" w:cs="David"/>
          <w:sz w:val="24"/>
          <w:szCs w:val="24"/>
          <w:rtl/>
        </w:rPr>
        <w:t xml:space="preserve">שונים </w:t>
      </w:r>
      <w:r w:rsidR="006630DE" w:rsidRPr="005F3228">
        <w:rPr>
          <w:rFonts w:ascii="David" w:hAnsi="David" w:cs="David"/>
          <w:sz w:val="24"/>
          <w:szCs w:val="24"/>
          <w:rtl/>
        </w:rPr>
        <w:t xml:space="preserve">בהם </w:t>
      </w:r>
      <w:r w:rsidR="00FF65F0" w:rsidRPr="005F3228">
        <w:rPr>
          <w:rFonts w:ascii="David" w:hAnsi="David" w:cs="David"/>
          <w:sz w:val="24"/>
          <w:szCs w:val="24"/>
          <w:rtl/>
        </w:rPr>
        <w:t xml:space="preserve">אדם מעתיק או מחקה תוצר רוחני </w:t>
      </w:r>
      <w:r w:rsidR="002B4B0F" w:rsidRPr="005F3228">
        <w:rPr>
          <w:rFonts w:ascii="David" w:hAnsi="David" w:cs="David"/>
          <w:sz w:val="24"/>
          <w:szCs w:val="24"/>
          <w:rtl/>
        </w:rPr>
        <w:t xml:space="preserve">כלשהו </w:t>
      </w:r>
      <w:r w:rsidR="00FF65F0" w:rsidRPr="005F3228">
        <w:rPr>
          <w:rFonts w:ascii="David" w:hAnsi="David" w:cs="David"/>
          <w:sz w:val="24"/>
          <w:szCs w:val="24"/>
          <w:rtl/>
        </w:rPr>
        <w:t xml:space="preserve">שיצר </w:t>
      </w:r>
      <w:r w:rsidR="006630DE" w:rsidRPr="005F3228">
        <w:rPr>
          <w:rFonts w:ascii="David" w:hAnsi="David" w:cs="David"/>
          <w:sz w:val="24"/>
          <w:szCs w:val="24"/>
          <w:rtl/>
        </w:rPr>
        <w:t xml:space="preserve">או פיתח </w:t>
      </w:r>
      <w:r w:rsidR="00FF65F0" w:rsidRPr="005F3228">
        <w:rPr>
          <w:rFonts w:ascii="David" w:hAnsi="David" w:cs="David"/>
          <w:sz w:val="24"/>
          <w:szCs w:val="24"/>
          <w:rtl/>
        </w:rPr>
        <w:t>אדם אחר.</w:t>
      </w:r>
      <w:r w:rsidR="00FF65F0" w:rsidRPr="005F3228">
        <w:rPr>
          <w:rStyle w:val="FootnoteReference"/>
          <w:rFonts w:ascii="David" w:hAnsi="David" w:cs="David"/>
          <w:sz w:val="24"/>
          <w:szCs w:val="24"/>
          <w:rtl/>
        </w:rPr>
        <w:footnoteReference w:id="21"/>
      </w:r>
      <w:r w:rsidR="002B4B0F" w:rsidRPr="005F3228">
        <w:rPr>
          <w:rFonts w:ascii="David" w:hAnsi="David" w:cs="David"/>
          <w:sz w:val="24"/>
          <w:szCs w:val="24"/>
          <w:rtl/>
        </w:rPr>
        <w:t xml:space="preserve"> דיני עשיית עושר </w:t>
      </w:r>
      <w:r w:rsidR="006630DE" w:rsidRPr="005F3228">
        <w:rPr>
          <w:rFonts w:ascii="David" w:hAnsi="David" w:cs="David"/>
          <w:sz w:val="24"/>
          <w:szCs w:val="24"/>
          <w:rtl/>
        </w:rPr>
        <w:t xml:space="preserve">מבוססים על העיקרון לפיו </w:t>
      </w:r>
      <w:r w:rsidR="002B4B0F" w:rsidRPr="005F3228">
        <w:rPr>
          <w:rFonts w:ascii="David" w:hAnsi="David" w:cs="David"/>
          <w:sz w:val="24"/>
          <w:szCs w:val="24"/>
          <w:rtl/>
        </w:rPr>
        <w:t xml:space="preserve">מי שהתעשר שלא כדין על חשבון חברו </w:t>
      </w:r>
      <w:r w:rsidR="006630DE" w:rsidRPr="005F3228">
        <w:rPr>
          <w:rFonts w:ascii="David" w:hAnsi="David" w:cs="David"/>
          <w:sz w:val="24"/>
          <w:szCs w:val="24"/>
          <w:rtl/>
        </w:rPr>
        <w:t xml:space="preserve">חייב </w:t>
      </w:r>
      <w:r w:rsidR="002B4B0F" w:rsidRPr="005F3228">
        <w:rPr>
          <w:rFonts w:ascii="David" w:hAnsi="David" w:cs="David"/>
          <w:sz w:val="24"/>
          <w:szCs w:val="24"/>
          <w:rtl/>
        </w:rPr>
        <w:t>להשיב את הזכייה.</w:t>
      </w:r>
      <w:r w:rsidR="002B4B0F" w:rsidRPr="005F3228">
        <w:rPr>
          <w:rStyle w:val="FootnoteReference"/>
          <w:rFonts w:ascii="David" w:hAnsi="David" w:cs="David"/>
          <w:sz w:val="24"/>
          <w:szCs w:val="24"/>
          <w:rtl/>
        </w:rPr>
        <w:footnoteReference w:id="22"/>
      </w:r>
      <w:r w:rsidR="002B4B0F" w:rsidRPr="005F3228">
        <w:rPr>
          <w:rFonts w:ascii="David" w:hAnsi="David" w:cs="David"/>
          <w:sz w:val="24"/>
          <w:szCs w:val="24"/>
          <w:rtl/>
        </w:rPr>
        <w:t xml:space="preserve"> באופן עקרוני, </w:t>
      </w:r>
      <w:r w:rsidR="00FB49E6" w:rsidRPr="005F3228">
        <w:rPr>
          <w:rFonts w:ascii="David" w:hAnsi="David" w:cs="David"/>
          <w:sz w:val="24"/>
          <w:szCs w:val="24"/>
          <w:rtl/>
        </w:rPr>
        <w:t>קיים</w:t>
      </w:r>
      <w:r w:rsidR="006630DE" w:rsidRPr="005F3228">
        <w:rPr>
          <w:rFonts w:ascii="David" w:hAnsi="David" w:cs="David"/>
          <w:sz w:val="24"/>
          <w:szCs w:val="24"/>
          <w:rtl/>
        </w:rPr>
        <w:t xml:space="preserve"> פוטנציאל לחפיפה רבה בין ענפי משפט אלה, שכן </w:t>
      </w:r>
      <w:r w:rsidR="00FB49E6" w:rsidRPr="005F3228">
        <w:rPr>
          <w:rFonts w:ascii="David" w:hAnsi="David" w:cs="David"/>
          <w:sz w:val="24"/>
          <w:szCs w:val="24"/>
          <w:rtl/>
        </w:rPr>
        <w:t xml:space="preserve">אדם המעתיק תוצר רוחני שפותח על-ידי </w:t>
      </w:r>
      <w:r w:rsidR="001174B4" w:rsidRPr="005F3228">
        <w:rPr>
          <w:rFonts w:ascii="David" w:hAnsi="David" w:cs="David"/>
          <w:sz w:val="24"/>
          <w:szCs w:val="24"/>
          <w:rtl/>
        </w:rPr>
        <w:t xml:space="preserve">חברו </w:t>
      </w:r>
      <w:r w:rsidR="00FB49E6" w:rsidRPr="005F3228">
        <w:rPr>
          <w:rFonts w:ascii="David" w:hAnsi="David" w:cs="David"/>
          <w:sz w:val="24"/>
          <w:szCs w:val="24"/>
          <w:rtl/>
        </w:rPr>
        <w:t>עשוי להתעשר על חשבונו</w:t>
      </w:r>
      <w:r w:rsidR="00D21DA3" w:rsidRPr="005F3228">
        <w:rPr>
          <w:rFonts w:ascii="David" w:hAnsi="David" w:cs="David"/>
          <w:sz w:val="24"/>
          <w:szCs w:val="24"/>
          <w:rtl/>
        </w:rPr>
        <w:t xml:space="preserve"> כתוצאה מכך</w:t>
      </w:r>
      <w:r w:rsidR="00FB49E6" w:rsidRPr="005F3228">
        <w:rPr>
          <w:rFonts w:ascii="David" w:hAnsi="David" w:cs="David"/>
          <w:sz w:val="24"/>
          <w:szCs w:val="24"/>
          <w:rtl/>
        </w:rPr>
        <w:t>.</w:t>
      </w:r>
      <w:r w:rsidR="001174B4" w:rsidRPr="005F3228">
        <w:rPr>
          <w:rFonts w:ascii="David" w:hAnsi="David" w:cs="David"/>
          <w:sz w:val="24"/>
          <w:szCs w:val="24"/>
          <w:rtl/>
        </w:rPr>
        <w:t xml:space="preserve"> </w:t>
      </w:r>
      <w:r w:rsidR="002B4B0F" w:rsidRPr="005F3228">
        <w:rPr>
          <w:rFonts w:ascii="David" w:hAnsi="David" w:cs="David"/>
          <w:sz w:val="24"/>
          <w:szCs w:val="24"/>
          <w:rtl/>
        </w:rPr>
        <w:t xml:space="preserve">השאלה היא מהו היחס בין </w:t>
      </w:r>
      <w:r w:rsidR="00D21DA3" w:rsidRPr="005F3228">
        <w:rPr>
          <w:rFonts w:ascii="David" w:hAnsi="David" w:cs="David"/>
          <w:sz w:val="24"/>
          <w:szCs w:val="24"/>
          <w:rtl/>
        </w:rPr>
        <w:t xml:space="preserve">הסדרים משפטיים </w:t>
      </w:r>
      <w:r w:rsidR="006630DE" w:rsidRPr="005F3228">
        <w:rPr>
          <w:rFonts w:ascii="David" w:hAnsi="David" w:cs="David"/>
          <w:sz w:val="24"/>
          <w:szCs w:val="24"/>
          <w:rtl/>
        </w:rPr>
        <w:t>אל</w:t>
      </w:r>
      <w:r w:rsidR="00D21DA3" w:rsidRPr="005F3228">
        <w:rPr>
          <w:rFonts w:ascii="David" w:hAnsi="David" w:cs="David"/>
          <w:sz w:val="24"/>
          <w:szCs w:val="24"/>
          <w:rtl/>
        </w:rPr>
        <w:t>ו</w:t>
      </w:r>
      <w:r w:rsidR="00950D1B" w:rsidRPr="005F3228">
        <w:rPr>
          <w:rFonts w:ascii="David" w:hAnsi="David" w:cs="David"/>
          <w:sz w:val="24"/>
          <w:szCs w:val="24"/>
          <w:rtl/>
        </w:rPr>
        <w:t>:</w:t>
      </w:r>
      <w:r w:rsidR="00D36A67" w:rsidRPr="005F3228">
        <w:rPr>
          <w:rFonts w:ascii="David" w:hAnsi="David" w:cs="David"/>
          <w:sz w:val="24"/>
          <w:szCs w:val="24"/>
          <w:rtl/>
        </w:rPr>
        <w:t xml:space="preserve"> </w:t>
      </w:r>
      <w:r w:rsidR="002B4B0F" w:rsidRPr="005F3228">
        <w:rPr>
          <w:rFonts w:ascii="David" w:hAnsi="David" w:cs="David"/>
          <w:sz w:val="24"/>
          <w:szCs w:val="24"/>
          <w:rtl/>
        </w:rPr>
        <w:t>האם דיני</w:t>
      </w:r>
      <w:r w:rsidR="00D36A67" w:rsidRPr="005F3228">
        <w:rPr>
          <w:rFonts w:ascii="David" w:hAnsi="David" w:cs="David"/>
          <w:sz w:val="24"/>
          <w:szCs w:val="24"/>
          <w:rtl/>
        </w:rPr>
        <w:t xml:space="preserve"> הקניין הרוחני הם המנגנון הבלעדי להגנה על תוצרים רוחניים במשפטנו</w:t>
      </w:r>
      <w:r w:rsidR="00D118C1" w:rsidRPr="005F3228">
        <w:rPr>
          <w:rFonts w:ascii="David" w:hAnsi="David" w:cs="David"/>
          <w:sz w:val="24"/>
          <w:szCs w:val="24"/>
          <w:rtl/>
        </w:rPr>
        <w:t>, כאשר סביבם—טבעת של הסדר שלילי,</w:t>
      </w:r>
      <w:r w:rsidR="00D36A67" w:rsidRPr="005F3228">
        <w:rPr>
          <w:rFonts w:ascii="David" w:hAnsi="David" w:cs="David"/>
          <w:sz w:val="24"/>
          <w:szCs w:val="24"/>
          <w:rtl/>
        </w:rPr>
        <w:t xml:space="preserve"> או שמא תיתכן הגנה על </w:t>
      </w:r>
      <w:r w:rsidR="00D118C1" w:rsidRPr="005F3228">
        <w:rPr>
          <w:rFonts w:ascii="David" w:hAnsi="David" w:cs="David"/>
          <w:sz w:val="24"/>
          <w:szCs w:val="24"/>
          <w:rtl/>
        </w:rPr>
        <w:t>תוצרים רוחניים</w:t>
      </w:r>
      <w:r w:rsidR="001174B4" w:rsidRPr="005F3228">
        <w:rPr>
          <w:rFonts w:ascii="David" w:hAnsi="David" w:cs="David"/>
          <w:sz w:val="24"/>
          <w:szCs w:val="24"/>
          <w:rtl/>
        </w:rPr>
        <w:t xml:space="preserve"> גם</w:t>
      </w:r>
      <w:r w:rsidR="00D36A67" w:rsidRPr="005F3228">
        <w:rPr>
          <w:rFonts w:ascii="David" w:hAnsi="David" w:cs="David"/>
          <w:sz w:val="24"/>
          <w:szCs w:val="24"/>
          <w:rtl/>
        </w:rPr>
        <w:t xml:space="preserve"> מכוח דיני עשיית עושר</w:t>
      </w:r>
      <w:r w:rsidR="001174B4" w:rsidRPr="005F3228">
        <w:rPr>
          <w:rFonts w:ascii="David" w:hAnsi="David" w:cs="David"/>
          <w:sz w:val="24"/>
          <w:szCs w:val="24"/>
          <w:rtl/>
        </w:rPr>
        <w:t xml:space="preserve"> בנסיבות בהן אין עילה מכוח דיני הקניין הרוחני</w:t>
      </w:r>
      <w:r w:rsidR="00950D1B" w:rsidRPr="005F3228">
        <w:rPr>
          <w:rFonts w:ascii="David" w:hAnsi="David" w:cs="David"/>
          <w:sz w:val="24"/>
          <w:szCs w:val="24"/>
          <w:rtl/>
        </w:rPr>
        <w:t>?</w:t>
      </w:r>
    </w:p>
    <w:p w14:paraId="043E217B" w14:textId="77777777" w:rsidR="00011ACB" w:rsidRPr="005F3228" w:rsidRDefault="008D18E6" w:rsidP="00B71C43">
      <w:pPr>
        <w:spacing w:line="300" w:lineRule="exact"/>
        <w:jc w:val="both"/>
        <w:rPr>
          <w:rFonts w:ascii="David" w:hAnsi="David" w:cs="David"/>
          <w:sz w:val="24"/>
          <w:szCs w:val="24"/>
          <w:rtl/>
        </w:rPr>
      </w:pPr>
      <w:r w:rsidRPr="005F3228">
        <w:rPr>
          <w:rFonts w:ascii="David" w:hAnsi="David" w:cs="David"/>
          <w:sz w:val="24"/>
          <w:szCs w:val="24"/>
          <w:rtl/>
        </w:rPr>
        <w:t xml:space="preserve">לאחר שנים רבות בהן לא הייתה </w:t>
      </w:r>
      <w:r w:rsidR="00601802" w:rsidRPr="005F3228">
        <w:rPr>
          <w:rFonts w:ascii="David" w:hAnsi="David" w:cs="David" w:hint="cs"/>
          <w:sz w:val="24"/>
          <w:szCs w:val="24"/>
          <w:rtl/>
        </w:rPr>
        <w:t>הלכה</w:t>
      </w:r>
      <w:r w:rsidR="00CE4A49" w:rsidRPr="005F3228">
        <w:rPr>
          <w:rFonts w:ascii="David" w:hAnsi="David" w:cs="David"/>
          <w:sz w:val="24"/>
          <w:szCs w:val="24"/>
          <w:rtl/>
        </w:rPr>
        <w:t xml:space="preserve"> </w:t>
      </w:r>
      <w:r w:rsidRPr="005F3228">
        <w:rPr>
          <w:rFonts w:ascii="David" w:hAnsi="David" w:cs="David"/>
          <w:sz w:val="24"/>
          <w:szCs w:val="24"/>
          <w:rtl/>
        </w:rPr>
        <w:t>ברורה</w:t>
      </w:r>
      <w:r w:rsidR="0042279A" w:rsidRPr="005F3228">
        <w:rPr>
          <w:rFonts w:ascii="David" w:hAnsi="David" w:cs="David"/>
          <w:sz w:val="24"/>
          <w:szCs w:val="24"/>
          <w:rtl/>
        </w:rPr>
        <w:t xml:space="preserve"> </w:t>
      </w:r>
      <w:r w:rsidR="00601802" w:rsidRPr="005F3228">
        <w:rPr>
          <w:rFonts w:ascii="David" w:hAnsi="David" w:cs="David" w:hint="cs"/>
          <w:sz w:val="24"/>
          <w:szCs w:val="24"/>
          <w:rtl/>
        </w:rPr>
        <w:t xml:space="preserve">של בית המשפט העליון </w:t>
      </w:r>
      <w:r w:rsidRPr="005F3228">
        <w:rPr>
          <w:rFonts w:ascii="David" w:hAnsi="David" w:cs="David"/>
          <w:sz w:val="24"/>
          <w:szCs w:val="24"/>
          <w:rtl/>
        </w:rPr>
        <w:t>בשאלה זו,</w:t>
      </w:r>
      <w:r w:rsidRPr="005F3228">
        <w:rPr>
          <w:rStyle w:val="FootnoteReference"/>
          <w:rFonts w:ascii="David" w:hAnsi="David" w:cs="David"/>
          <w:sz w:val="24"/>
          <w:szCs w:val="24"/>
          <w:rtl/>
        </w:rPr>
        <w:footnoteReference w:id="23"/>
      </w:r>
      <w:r w:rsidRPr="005F3228">
        <w:rPr>
          <w:rFonts w:ascii="David" w:hAnsi="David" w:cs="David"/>
          <w:sz w:val="24"/>
          <w:szCs w:val="24"/>
          <w:rtl/>
        </w:rPr>
        <w:t xml:space="preserve"> </w:t>
      </w:r>
      <w:r w:rsidR="001174B4" w:rsidRPr="005F3228">
        <w:rPr>
          <w:rFonts w:ascii="David" w:hAnsi="David" w:cs="David"/>
          <w:sz w:val="24"/>
          <w:szCs w:val="24"/>
          <w:rtl/>
        </w:rPr>
        <w:t xml:space="preserve">פסק בית המשפט </w:t>
      </w:r>
      <w:r w:rsidR="0042279A" w:rsidRPr="005F3228">
        <w:rPr>
          <w:rFonts w:ascii="David" w:hAnsi="David" w:cs="David"/>
          <w:sz w:val="24"/>
          <w:szCs w:val="24"/>
          <w:rtl/>
        </w:rPr>
        <w:t xml:space="preserve">בעניין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001174B4" w:rsidRPr="005F3228">
        <w:rPr>
          <w:rFonts w:ascii="David" w:hAnsi="David" w:cs="David"/>
          <w:sz w:val="24"/>
          <w:szCs w:val="24"/>
          <w:rtl/>
        </w:rPr>
        <w:t xml:space="preserve">, </w:t>
      </w:r>
      <w:r w:rsidR="00A450A9" w:rsidRPr="005F3228">
        <w:rPr>
          <w:rFonts w:ascii="David" w:hAnsi="David" w:cs="David"/>
          <w:sz w:val="24"/>
          <w:szCs w:val="24"/>
          <w:rtl/>
        </w:rPr>
        <w:t>ברוב של חמישה שופטים לעומת שניים</w:t>
      </w:r>
      <w:r w:rsidR="001174B4" w:rsidRPr="005F3228">
        <w:rPr>
          <w:rFonts w:ascii="David" w:hAnsi="David" w:cs="David"/>
          <w:sz w:val="24"/>
          <w:szCs w:val="24"/>
          <w:rtl/>
        </w:rPr>
        <w:t xml:space="preserve">, כי </w:t>
      </w:r>
      <w:r w:rsidR="0042279A" w:rsidRPr="005F3228">
        <w:rPr>
          <w:rFonts w:ascii="David" w:hAnsi="David" w:cs="David"/>
          <w:sz w:val="24"/>
          <w:szCs w:val="24"/>
          <w:rtl/>
        </w:rPr>
        <w:t>תיתכן עקרונית עילת תביעה בעשיית עושר גם בנסיבות בהן לא קיימת עילה מכוח דיני הקניין הרוחני</w:t>
      </w:r>
      <w:bookmarkStart w:id="16" w:name="_Ref25568938"/>
      <w:r w:rsidR="00FB49E6" w:rsidRPr="005F3228">
        <w:rPr>
          <w:rStyle w:val="FootnoteReference"/>
          <w:rFonts w:ascii="David" w:hAnsi="David" w:cs="David"/>
          <w:sz w:val="24"/>
          <w:szCs w:val="24"/>
          <w:rtl/>
        </w:rPr>
        <w:footnoteReference w:id="24"/>
      </w:r>
      <w:bookmarkEnd w:id="16"/>
      <w:r w:rsidR="00FB49E6" w:rsidRPr="005F3228">
        <w:rPr>
          <w:rFonts w:ascii="David" w:hAnsi="David" w:cs="David"/>
          <w:sz w:val="24"/>
          <w:szCs w:val="24"/>
          <w:rtl/>
        </w:rPr>
        <w:t>.</w:t>
      </w:r>
      <w:r w:rsidR="0042279A" w:rsidRPr="005F3228">
        <w:rPr>
          <w:rFonts w:ascii="David" w:hAnsi="David" w:cs="David"/>
          <w:sz w:val="24"/>
          <w:szCs w:val="24"/>
          <w:rtl/>
        </w:rPr>
        <w:t xml:space="preserve"> </w:t>
      </w:r>
      <w:r w:rsidR="007C3F14" w:rsidRPr="005F3228">
        <w:rPr>
          <w:rFonts w:ascii="David" w:hAnsi="David" w:cs="David"/>
          <w:sz w:val="24"/>
          <w:szCs w:val="24"/>
          <w:rtl/>
        </w:rPr>
        <w:t>פסק</w:t>
      </w:r>
      <w:r w:rsidR="0045173F" w:rsidRPr="005F3228">
        <w:rPr>
          <w:rFonts w:ascii="David" w:hAnsi="David" w:cs="David"/>
          <w:sz w:val="24"/>
          <w:szCs w:val="24"/>
          <w:rtl/>
        </w:rPr>
        <w:t xml:space="preserve"> </w:t>
      </w:r>
      <w:r w:rsidR="007C3F14" w:rsidRPr="005F3228">
        <w:rPr>
          <w:rFonts w:ascii="David" w:hAnsi="David" w:cs="David"/>
          <w:sz w:val="24"/>
          <w:szCs w:val="24"/>
          <w:rtl/>
        </w:rPr>
        <w:t>הדין עסק ב</w:t>
      </w:r>
      <w:r w:rsidR="00011ACB" w:rsidRPr="005F3228">
        <w:rPr>
          <w:rFonts w:ascii="David" w:hAnsi="David" w:cs="David"/>
          <w:sz w:val="24"/>
          <w:szCs w:val="24"/>
          <w:rtl/>
        </w:rPr>
        <w:t>שלושה</w:t>
      </w:r>
      <w:r w:rsidR="007C3F14" w:rsidRPr="005F3228">
        <w:rPr>
          <w:rFonts w:ascii="David" w:hAnsi="David" w:cs="David"/>
          <w:sz w:val="24"/>
          <w:szCs w:val="24"/>
          <w:rtl/>
        </w:rPr>
        <w:t xml:space="preserve"> </w:t>
      </w:r>
      <w:r w:rsidR="0049167B" w:rsidRPr="005F3228">
        <w:rPr>
          <w:rFonts w:ascii="David" w:hAnsi="David" w:cs="David"/>
          <w:sz w:val="24"/>
          <w:szCs w:val="24"/>
          <w:rtl/>
        </w:rPr>
        <w:t xml:space="preserve">מקרים </w:t>
      </w:r>
      <w:r w:rsidR="007C3F14" w:rsidRPr="005F3228">
        <w:rPr>
          <w:rFonts w:ascii="David" w:hAnsi="David" w:cs="David"/>
          <w:sz w:val="24"/>
          <w:szCs w:val="24"/>
          <w:rtl/>
        </w:rPr>
        <w:t>שנדונו במאוחד</w:t>
      </w:r>
      <w:r w:rsidR="00791EED" w:rsidRPr="005F3228">
        <w:rPr>
          <w:rFonts w:ascii="David" w:hAnsi="David" w:cs="David" w:hint="cs"/>
          <w:sz w:val="24"/>
          <w:szCs w:val="24"/>
          <w:rtl/>
        </w:rPr>
        <w:t xml:space="preserve">. בשניים מן המקרים </w:t>
      </w:r>
      <w:r w:rsidR="002C3579" w:rsidRPr="005F3228">
        <w:rPr>
          <w:rFonts w:ascii="David" w:hAnsi="David" w:cs="David"/>
          <w:sz w:val="24"/>
          <w:szCs w:val="24"/>
          <w:rtl/>
        </w:rPr>
        <w:t>הועתק</w:t>
      </w:r>
      <w:r w:rsidR="00477727" w:rsidRPr="005F3228">
        <w:rPr>
          <w:rFonts w:ascii="David" w:hAnsi="David" w:cs="David"/>
          <w:sz w:val="24"/>
          <w:szCs w:val="24"/>
          <w:rtl/>
        </w:rPr>
        <w:t xml:space="preserve"> עיצוב </w:t>
      </w:r>
      <w:r w:rsidR="002C3579" w:rsidRPr="005F3228">
        <w:rPr>
          <w:rFonts w:ascii="David" w:hAnsi="David" w:cs="David"/>
          <w:sz w:val="24"/>
          <w:szCs w:val="24"/>
          <w:rtl/>
        </w:rPr>
        <w:t xml:space="preserve">של </w:t>
      </w:r>
      <w:r w:rsidR="00477727" w:rsidRPr="005F3228">
        <w:rPr>
          <w:rFonts w:ascii="David" w:hAnsi="David" w:cs="David"/>
          <w:sz w:val="24"/>
          <w:szCs w:val="24"/>
          <w:rtl/>
        </w:rPr>
        <w:t xml:space="preserve">מוצר </w:t>
      </w:r>
      <w:r w:rsidR="007C3F14" w:rsidRPr="005F3228">
        <w:rPr>
          <w:rFonts w:ascii="David" w:hAnsi="David" w:cs="David"/>
          <w:sz w:val="24"/>
          <w:szCs w:val="24"/>
          <w:rtl/>
        </w:rPr>
        <w:t>ש</w:t>
      </w:r>
      <w:r w:rsidR="0049167B" w:rsidRPr="005F3228">
        <w:rPr>
          <w:rFonts w:ascii="David" w:hAnsi="David" w:cs="David"/>
          <w:sz w:val="24"/>
          <w:szCs w:val="24"/>
          <w:rtl/>
        </w:rPr>
        <w:t>לא</w:t>
      </w:r>
      <w:r w:rsidR="00CF56E1" w:rsidRPr="005F3228">
        <w:rPr>
          <w:rFonts w:ascii="David" w:hAnsi="David" w:cs="David"/>
          <w:sz w:val="24"/>
          <w:szCs w:val="24"/>
          <w:rtl/>
        </w:rPr>
        <w:t xml:space="preserve"> נרש</w:t>
      </w:r>
      <w:r w:rsidR="00477727" w:rsidRPr="005F3228">
        <w:rPr>
          <w:rFonts w:ascii="David" w:hAnsi="David" w:cs="David"/>
          <w:sz w:val="24"/>
          <w:szCs w:val="24"/>
          <w:rtl/>
        </w:rPr>
        <w:t xml:space="preserve">ם </w:t>
      </w:r>
      <w:r w:rsidR="007C3F14" w:rsidRPr="005F3228">
        <w:rPr>
          <w:rFonts w:ascii="David" w:hAnsi="David" w:cs="David"/>
          <w:sz w:val="24"/>
          <w:szCs w:val="24"/>
          <w:rtl/>
        </w:rPr>
        <w:t>לגביו</w:t>
      </w:r>
      <w:r w:rsidR="00CF56E1" w:rsidRPr="005F3228">
        <w:rPr>
          <w:rFonts w:ascii="David" w:hAnsi="David" w:cs="David"/>
          <w:sz w:val="24"/>
          <w:szCs w:val="24"/>
          <w:rtl/>
        </w:rPr>
        <w:t xml:space="preserve"> </w:t>
      </w:r>
      <w:r w:rsidR="00477727" w:rsidRPr="005F3228">
        <w:rPr>
          <w:rFonts w:ascii="David" w:hAnsi="David" w:cs="David"/>
          <w:sz w:val="24"/>
          <w:szCs w:val="24"/>
          <w:rtl/>
        </w:rPr>
        <w:t>מד</w:t>
      </w:r>
      <w:r w:rsidR="00F80F46" w:rsidRPr="005F3228">
        <w:rPr>
          <w:rFonts w:ascii="David" w:hAnsi="David" w:cs="David" w:hint="eastAsia"/>
          <w:sz w:val="24"/>
          <w:szCs w:val="24"/>
          <w:rtl/>
        </w:rPr>
        <w:t>גם</w:t>
      </w:r>
      <w:r w:rsidR="00443EFC" w:rsidRPr="005F3228">
        <w:rPr>
          <w:rFonts w:ascii="David" w:hAnsi="David" w:cs="David"/>
          <w:sz w:val="24"/>
          <w:szCs w:val="24"/>
          <w:rtl/>
        </w:rPr>
        <w:t>,</w:t>
      </w:r>
      <w:r w:rsidR="00791EED" w:rsidRPr="005F3228">
        <w:rPr>
          <w:rStyle w:val="FootnoteReference"/>
          <w:rFonts w:ascii="David" w:hAnsi="David" w:cs="David"/>
          <w:sz w:val="24"/>
          <w:szCs w:val="24"/>
          <w:rtl/>
        </w:rPr>
        <w:footnoteReference w:id="25"/>
      </w:r>
      <w:r w:rsidR="00F80F46" w:rsidRPr="005F3228">
        <w:rPr>
          <w:rFonts w:ascii="David" w:hAnsi="David" w:cs="David" w:hint="cs"/>
          <w:sz w:val="24"/>
          <w:szCs w:val="24"/>
          <w:rtl/>
        </w:rPr>
        <w:t xml:space="preserve"> </w:t>
      </w:r>
      <w:r w:rsidR="00F80F46" w:rsidRPr="005F3228">
        <w:rPr>
          <w:rFonts w:ascii="David" w:hAnsi="David" w:cs="David" w:hint="cs"/>
          <w:sz w:val="24"/>
          <w:szCs w:val="24"/>
          <w:rtl/>
        </w:rPr>
        <w:lastRenderedPageBreak/>
        <w:t xml:space="preserve">ואילו המקרה השלישי עסק בהעתקת </w:t>
      </w:r>
      <w:r w:rsidR="00477727" w:rsidRPr="005F3228">
        <w:rPr>
          <w:rFonts w:ascii="David" w:hAnsi="David" w:cs="David"/>
          <w:sz w:val="24"/>
          <w:szCs w:val="24"/>
          <w:rtl/>
        </w:rPr>
        <w:t xml:space="preserve">שיטת ייצור שלא נרשם </w:t>
      </w:r>
      <w:r w:rsidR="007C3F14" w:rsidRPr="005F3228">
        <w:rPr>
          <w:rFonts w:ascii="David" w:hAnsi="David" w:cs="David"/>
          <w:sz w:val="24"/>
          <w:szCs w:val="24"/>
          <w:rtl/>
        </w:rPr>
        <w:t xml:space="preserve">לגביה </w:t>
      </w:r>
      <w:r w:rsidR="00477727" w:rsidRPr="005F3228">
        <w:rPr>
          <w:rFonts w:ascii="David" w:hAnsi="David" w:cs="David"/>
          <w:sz w:val="24"/>
          <w:szCs w:val="24"/>
          <w:rtl/>
        </w:rPr>
        <w:t>פטנט.</w:t>
      </w:r>
      <w:bookmarkStart w:id="17" w:name="_Ref27843751"/>
      <w:r w:rsidR="007C3F14" w:rsidRPr="005F3228">
        <w:rPr>
          <w:rStyle w:val="FootnoteReference"/>
          <w:rFonts w:ascii="David" w:hAnsi="David" w:cs="David"/>
          <w:sz w:val="24"/>
          <w:szCs w:val="24"/>
          <w:rtl/>
        </w:rPr>
        <w:footnoteReference w:id="26"/>
      </w:r>
      <w:bookmarkEnd w:id="17"/>
      <w:r w:rsidR="00477727" w:rsidRPr="005F3228">
        <w:rPr>
          <w:rFonts w:ascii="David" w:hAnsi="David" w:cs="David"/>
          <w:sz w:val="24"/>
          <w:szCs w:val="24"/>
          <w:rtl/>
        </w:rPr>
        <w:t xml:space="preserve"> ב</w:t>
      </w:r>
      <w:r w:rsidR="00011ACB" w:rsidRPr="005F3228">
        <w:rPr>
          <w:rFonts w:ascii="David" w:hAnsi="David" w:cs="David"/>
          <w:sz w:val="24"/>
          <w:szCs w:val="24"/>
          <w:rtl/>
        </w:rPr>
        <w:t>שלושת</w:t>
      </w:r>
      <w:r w:rsidR="00477727" w:rsidRPr="005F3228">
        <w:rPr>
          <w:rFonts w:ascii="David" w:hAnsi="David" w:cs="David"/>
          <w:sz w:val="24"/>
          <w:szCs w:val="24"/>
          <w:rtl/>
        </w:rPr>
        <w:t xml:space="preserve"> המקרים</w:t>
      </w:r>
      <w:r w:rsidR="00674B85" w:rsidRPr="005F3228">
        <w:rPr>
          <w:rFonts w:ascii="David" w:hAnsi="David" w:cs="David"/>
          <w:sz w:val="24"/>
          <w:szCs w:val="24"/>
          <w:rtl/>
        </w:rPr>
        <w:t xml:space="preserve"> </w:t>
      </w:r>
      <w:r w:rsidR="007C3F14" w:rsidRPr="005F3228">
        <w:rPr>
          <w:rFonts w:ascii="David" w:hAnsi="David" w:cs="David"/>
          <w:sz w:val="24"/>
          <w:szCs w:val="24"/>
          <w:rtl/>
        </w:rPr>
        <w:t xml:space="preserve">הנדונים </w:t>
      </w:r>
      <w:r w:rsidR="00477727" w:rsidRPr="005F3228">
        <w:rPr>
          <w:rFonts w:ascii="David" w:hAnsi="David" w:cs="David"/>
          <w:sz w:val="24"/>
          <w:szCs w:val="24"/>
          <w:rtl/>
        </w:rPr>
        <w:t xml:space="preserve">אף </w:t>
      </w:r>
      <w:r w:rsidR="00674B85" w:rsidRPr="005F3228">
        <w:rPr>
          <w:rFonts w:ascii="David" w:hAnsi="David" w:cs="David"/>
          <w:sz w:val="24"/>
          <w:szCs w:val="24"/>
          <w:rtl/>
        </w:rPr>
        <w:t>לא התקיימה עילת תביעה מכוח דיני זכות יוצרים</w:t>
      </w:r>
      <w:r w:rsidR="00904331" w:rsidRPr="005F3228">
        <w:rPr>
          <w:rFonts w:ascii="David" w:hAnsi="David" w:cs="David"/>
          <w:sz w:val="24"/>
          <w:szCs w:val="24"/>
          <w:rtl/>
        </w:rPr>
        <w:t xml:space="preserve">, דיני </w:t>
      </w:r>
      <w:r w:rsidR="00477727" w:rsidRPr="005F3228">
        <w:rPr>
          <w:rFonts w:ascii="David" w:hAnsi="David" w:cs="David"/>
          <w:sz w:val="24"/>
          <w:szCs w:val="24"/>
          <w:rtl/>
        </w:rPr>
        <w:t xml:space="preserve">סימני מסחר </w:t>
      </w:r>
      <w:r w:rsidR="00904331" w:rsidRPr="005F3228">
        <w:rPr>
          <w:rFonts w:ascii="David" w:hAnsi="David" w:cs="David"/>
          <w:sz w:val="24"/>
          <w:szCs w:val="24"/>
          <w:rtl/>
        </w:rPr>
        <w:t xml:space="preserve">או </w:t>
      </w:r>
      <w:r w:rsidR="002C3579" w:rsidRPr="005F3228">
        <w:rPr>
          <w:rFonts w:ascii="David" w:hAnsi="David" w:cs="David"/>
          <w:sz w:val="24"/>
          <w:szCs w:val="24"/>
          <w:rtl/>
        </w:rPr>
        <w:t>עוולת</w:t>
      </w:r>
      <w:r w:rsidR="00904331" w:rsidRPr="005F3228">
        <w:rPr>
          <w:rFonts w:ascii="David" w:hAnsi="David" w:cs="David"/>
          <w:sz w:val="24"/>
          <w:szCs w:val="24"/>
          <w:rtl/>
        </w:rPr>
        <w:t xml:space="preserve"> </w:t>
      </w:r>
      <w:r w:rsidR="00477727" w:rsidRPr="005F3228">
        <w:rPr>
          <w:rFonts w:ascii="David" w:hAnsi="David" w:cs="David"/>
          <w:sz w:val="24"/>
          <w:szCs w:val="24"/>
          <w:rtl/>
        </w:rPr>
        <w:t xml:space="preserve">גניבת </w:t>
      </w:r>
      <w:r w:rsidR="002C3579" w:rsidRPr="005F3228">
        <w:rPr>
          <w:rFonts w:ascii="David" w:hAnsi="David" w:cs="David"/>
          <w:sz w:val="24"/>
          <w:szCs w:val="24"/>
          <w:rtl/>
        </w:rPr>
        <w:t>ה</w:t>
      </w:r>
      <w:r w:rsidR="00477727" w:rsidRPr="005F3228">
        <w:rPr>
          <w:rFonts w:ascii="David" w:hAnsi="David" w:cs="David"/>
          <w:sz w:val="24"/>
          <w:szCs w:val="24"/>
          <w:rtl/>
        </w:rPr>
        <w:t>עין.</w:t>
      </w:r>
      <w:r w:rsidR="006002D4" w:rsidRPr="005F3228">
        <w:rPr>
          <w:rFonts w:ascii="David" w:hAnsi="David" w:cs="David"/>
          <w:sz w:val="24"/>
          <w:szCs w:val="24"/>
          <w:rtl/>
        </w:rPr>
        <w:t xml:space="preserve"> בית המשפט </w:t>
      </w:r>
      <w:r w:rsidR="00A450A9" w:rsidRPr="005F3228">
        <w:rPr>
          <w:rFonts w:ascii="David" w:hAnsi="David" w:cs="David"/>
          <w:sz w:val="24"/>
          <w:szCs w:val="24"/>
          <w:rtl/>
        </w:rPr>
        <w:t xml:space="preserve">(בדעת רוב) </w:t>
      </w:r>
      <w:r w:rsidR="00904331" w:rsidRPr="005F3228">
        <w:rPr>
          <w:rFonts w:ascii="David" w:hAnsi="David" w:cs="David"/>
          <w:sz w:val="24"/>
          <w:szCs w:val="24"/>
          <w:rtl/>
        </w:rPr>
        <w:t>פסק כי דיני הקניין הרוחני לא יוצרים הסדר שלילי לעניין תחולתם של דיני עשיית עושר</w:t>
      </w:r>
      <w:r w:rsidR="007A5CBB" w:rsidRPr="005F3228">
        <w:rPr>
          <w:rFonts w:ascii="David" w:hAnsi="David" w:cs="David"/>
          <w:sz w:val="24"/>
          <w:szCs w:val="24"/>
          <w:rtl/>
        </w:rPr>
        <w:t xml:space="preserve">, ועל כן ניתן להעניק, בנסיבות מסוימות, סעד מכוח דיני עשיית עושר גם כאשר </w:t>
      </w:r>
      <w:r w:rsidR="00F80F46" w:rsidRPr="005F3228">
        <w:rPr>
          <w:rFonts w:ascii="David" w:hAnsi="David" w:cs="David" w:hint="cs"/>
          <w:sz w:val="24"/>
          <w:szCs w:val="24"/>
          <w:rtl/>
        </w:rPr>
        <w:t>אין</w:t>
      </w:r>
      <w:r w:rsidR="007A5CBB" w:rsidRPr="005F3228">
        <w:rPr>
          <w:rFonts w:ascii="David" w:hAnsi="David" w:cs="David"/>
          <w:sz w:val="24"/>
          <w:szCs w:val="24"/>
          <w:rtl/>
        </w:rPr>
        <w:t xml:space="preserve"> עילה מכוח דיני הקניין הרוחני.</w:t>
      </w:r>
      <w:r w:rsidR="006002D4" w:rsidRPr="005F3228">
        <w:rPr>
          <w:rFonts w:ascii="David" w:hAnsi="David" w:cs="David"/>
          <w:sz w:val="24"/>
          <w:szCs w:val="24"/>
          <w:rtl/>
        </w:rPr>
        <w:t xml:space="preserve"> </w:t>
      </w:r>
      <w:r w:rsidR="00011ACB" w:rsidRPr="005F3228">
        <w:rPr>
          <w:rFonts w:ascii="David" w:hAnsi="David" w:cs="David"/>
          <w:sz w:val="24"/>
          <w:szCs w:val="24"/>
          <w:rtl/>
        </w:rPr>
        <w:t xml:space="preserve">בסופו של יום, לגבי המקרים הנדונים </w:t>
      </w:r>
      <w:r w:rsidR="00F80F46" w:rsidRPr="005F3228">
        <w:rPr>
          <w:rFonts w:ascii="David" w:hAnsi="David" w:cs="David" w:hint="cs"/>
          <w:sz w:val="24"/>
          <w:szCs w:val="24"/>
          <w:rtl/>
        </w:rPr>
        <w:t>הקונקרטיים</w:t>
      </w:r>
      <w:r w:rsidR="00011ACB" w:rsidRPr="005F3228">
        <w:rPr>
          <w:rFonts w:ascii="David" w:hAnsi="David" w:cs="David"/>
          <w:sz w:val="24"/>
          <w:szCs w:val="24"/>
          <w:rtl/>
        </w:rPr>
        <w:t xml:space="preserve">, קבע בית המשפט כי באחד מהם (פרשת </w:t>
      </w:r>
      <w:r w:rsidR="00011ACB" w:rsidRPr="005F3228">
        <w:rPr>
          <w:rFonts w:ascii="David" w:hAnsi="David" w:cs="David"/>
          <w:b/>
          <w:bCs/>
          <w:sz w:val="24"/>
          <w:szCs w:val="24"/>
          <w:rtl/>
        </w:rPr>
        <w:t>הרר</w:t>
      </w:r>
      <w:r w:rsidR="00011ACB" w:rsidRPr="005F3228">
        <w:rPr>
          <w:rFonts w:ascii="David" w:hAnsi="David" w:cs="David"/>
          <w:sz w:val="24"/>
          <w:szCs w:val="24"/>
          <w:rtl/>
        </w:rPr>
        <w:t>) אכן ראוי לתת סעד בעשיית עושר.</w:t>
      </w:r>
      <w:r w:rsidR="00011ACB" w:rsidRPr="005F3228">
        <w:rPr>
          <w:rStyle w:val="FootnoteReference"/>
          <w:rFonts w:ascii="David" w:hAnsi="David" w:cs="David"/>
          <w:sz w:val="24"/>
          <w:szCs w:val="24"/>
          <w:rtl/>
        </w:rPr>
        <w:footnoteReference w:id="27"/>
      </w:r>
    </w:p>
    <w:p w14:paraId="5E97186A" w14:textId="77777777" w:rsidR="00D36825" w:rsidRPr="005F3228" w:rsidRDefault="00C908B3" w:rsidP="009541EB">
      <w:pPr>
        <w:spacing w:line="300" w:lineRule="exact"/>
        <w:jc w:val="both"/>
        <w:rPr>
          <w:rFonts w:ascii="David" w:hAnsi="David" w:cs="David"/>
          <w:sz w:val="24"/>
          <w:szCs w:val="24"/>
          <w:rtl/>
        </w:rPr>
      </w:pPr>
      <w:r w:rsidRPr="005F3228">
        <w:rPr>
          <w:rFonts w:ascii="David" w:hAnsi="David" w:cs="David" w:hint="cs"/>
          <w:sz w:val="24"/>
          <w:szCs w:val="24"/>
          <w:rtl/>
        </w:rPr>
        <w:t xml:space="preserve">אף כי שופטי הרוב נבדלו זה מזה </w:t>
      </w:r>
      <w:r w:rsidR="00AF23F1" w:rsidRPr="005F3228">
        <w:rPr>
          <w:rFonts w:ascii="David" w:hAnsi="David" w:cs="David" w:hint="cs"/>
          <w:sz w:val="24"/>
          <w:szCs w:val="24"/>
          <w:rtl/>
        </w:rPr>
        <w:t>בחוות דעתם</w:t>
      </w:r>
      <w:r w:rsidRPr="005F3228">
        <w:rPr>
          <w:rFonts w:ascii="David" w:hAnsi="David" w:cs="David" w:hint="cs"/>
          <w:sz w:val="24"/>
          <w:szCs w:val="24"/>
          <w:rtl/>
        </w:rPr>
        <w:t xml:space="preserve"> (כמתואר להלן), </w:t>
      </w:r>
      <w:r w:rsidR="00F33761" w:rsidRPr="005F3228">
        <w:rPr>
          <w:rFonts w:ascii="David" w:hAnsi="David" w:cs="David"/>
          <w:sz w:val="24"/>
          <w:szCs w:val="24"/>
          <w:rtl/>
        </w:rPr>
        <w:t xml:space="preserve">נימוק מרכזי </w:t>
      </w:r>
      <w:r w:rsidR="00856701" w:rsidRPr="005F3228">
        <w:rPr>
          <w:rFonts w:ascii="David" w:hAnsi="David" w:cs="David"/>
          <w:sz w:val="24"/>
          <w:szCs w:val="24"/>
          <w:rtl/>
        </w:rPr>
        <w:t xml:space="preserve">שעמד ביסוד ההכרעה </w:t>
      </w:r>
      <w:r w:rsidR="00F33761" w:rsidRPr="005F3228">
        <w:rPr>
          <w:rFonts w:ascii="David" w:hAnsi="David" w:cs="David"/>
          <w:sz w:val="24"/>
          <w:szCs w:val="24"/>
          <w:rtl/>
        </w:rPr>
        <w:t xml:space="preserve">הוא </w:t>
      </w:r>
      <w:r w:rsidR="00856701" w:rsidRPr="005F3228">
        <w:rPr>
          <w:rFonts w:ascii="David" w:hAnsi="David" w:cs="David"/>
          <w:sz w:val="24"/>
          <w:szCs w:val="24"/>
          <w:rtl/>
        </w:rPr>
        <w:t xml:space="preserve">הצורך בכלי יעיל לפיתוח דינאמי של המשפט בתחום הקניין הרוחני. השופטת </w:t>
      </w:r>
      <w:proofErr w:type="spellStart"/>
      <w:r w:rsidR="00856701" w:rsidRPr="005F3228">
        <w:rPr>
          <w:rFonts w:ascii="David" w:hAnsi="David" w:cs="David"/>
          <w:sz w:val="24"/>
          <w:szCs w:val="24"/>
          <w:rtl/>
        </w:rPr>
        <w:t>שטרסברג</w:t>
      </w:r>
      <w:proofErr w:type="spellEnd"/>
      <w:r w:rsidR="00856701" w:rsidRPr="005F3228">
        <w:rPr>
          <w:rFonts w:ascii="David" w:hAnsi="David" w:cs="David"/>
          <w:sz w:val="24"/>
          <w:szCs w:val="24"/>
          <w:rtl/>
        </w:rPr>
        <w:t>-כהן</w:t>
      </w:r>
      <w:r w:rsidR="00F33761" w:rsidRPr="005F3228">
        <w:rPr>
          <w:rFonts w:ascii="David" w:hAnsi="David" w:cs="David"/>
          <w:sz w:val="24"/>
          <w:szCs w:val="24"/>
          <w:rtl/>
        </w:rPr>
        <w:t xml:space="preserve"> עמדה, בהקשר זה,</w:t>
      </w:r>
      <w:r w:rsidR="00856701" w:rsidRPr="005F3228">
        <w:rPr>
          <w:rFonts w:ascii="David" w:hAnsi="David" w:cs="David"/>
          <w:sz w:val="24"/>
          <w:szCs w:val="24"/>
          <w:rtl/>
        </w:rPr>
        <w:t xml:space="preserve"> על כך שדיני הקניין הרוחני הם הסדר </w:t>
      </w:r>
      <w:r w:rsidR="00F33761" w:rsidRPr="005F3228">
        <w:rPr>
          <w:rFonts w:ascii="David" w:hAnsi="David" w:cs="David"/>
          <w:sz w:val="24"/>
          <w:szCs w:val="24"/>
          <w:rtl/>
        </w:rPr>
        <w:t xml:space="preserve">משפטי </w:t>
      </w:r>
      <w:r w:rsidR="00856701" w:rsidRPr="005F3228">
        <w:rPr>
          <w:rFonts w:ascii="David" w:hAnsi="David" w:cs="David"/>
          <w:sz w:val="24"/>
          <w:szCs w:val="24"/>
          <w:rtl/>
        </w:rPr>
        <w:t>נוקשה שחלקו מצוי בפקודות מנדטוריות ו</w:t>
      </w:r>
      <w:r w:rsidR="00F33761" w:rsidRPr="005F3228">
        <w:rPr>
          <w:rFonts w:ascii="David" w:hAnsi="David" w:cs="David"/>
          <w:sz w:val="24"/>
          <w:szCs w:val="24"/>
          <w:rtl/>
        </w:rPr>
        <w:t xml:space="preserve">חלקו בחקיקה של הכנסת שאינה מתחדשת </w:t>
      </w:r>
      <w:r w:rsidR="00856701" w:rsidRPr="005F3228">
        <w:rPr>
          <w:rFonts w:ascii="David" w:hAnsi="David" w:cs="David"/>
          <w:sz w:val="24"/>
          <w:szCs w:val="24"/>
          <w:rtl/>
        </w:rPr>
        <w:t xml:space="preserve">בקצב בו מתפתח הקניין הרוחני במציאות. מאחר שהקדמה הטכנולוגית מולידה חדשות לבקרים סיטואציות חדשות, שמרביתן בלתי-צפויות מראש, נוצר בתחום הקניין הרוחני מצב בו </w:t>
      </w:r>
      <w:r w:rsidR="009541EB" w:rsidRPr="005F3228">
        <w:rPr>
          <w:rFonts w:ascii="David" w:hAnsi="David" w:cs="David" w:hint="cs"/>
          <w:sz w:val="24"/>
          <w:szCs w:val="24"/>
          <w:rtl/>
        </w:rPr>
        <w:t xml:space="preserve">תוצרים </w:t>
      </w:r>
      <w:proofErr w:type="spellStart"/>
      <w:r w:rsidR="009541EB" w:rsidRPr="005F3228">
        <w:rPr>
          <w:rFonts w:ascii="David" w:hAnsi="David" w:cs="David" w:hint="cs"/>
          <w:sz w:val="24"/>
          <w:szCs w:val="24"/>
          <w:rtl/>
        </w:rPr>
        <w:t>מסויימים</w:t>
      </w:r>
      <w:proofErr w:type="spellEnd"/>
      <w:r w:rsidR="00856701" w:rsidRPr="005F3228">
        <w:rPr>
          <w:rFonts w:ascii="David" w:hAnsi="David" w:cs="David"/>
          <w:sz w:val="24"/>
          <w:szCs w:val="24"/>
          <w:rtl/>
        </w:rPr>
        <w:t xml:space="preserve"> אינם זוכים להגנה באשר אינם משתבצים במסגרות הקיימות בדיני הקניין הרוחני. אשר על כן, ראוי, לגישתה, לאפשר לבית המשפט לערוך איזון אינטרסים ולשקול הענקת סעד מכוח </w:t>
      </w:r>
      <w:r w:rsidR="005F1C97" w:rsidRPr="005F3228">
        <w:rPr>
          <w:rFonts w:ascii="David" w:hAnsi="David" w:cs="David"/>
          <w:sz w:val="24"/>
          <w:szCs w:val="24"/>
          <w:rtl/>
        </w:rPr>
        <w:t>דיני</w:t>
      </w:r>
      <w:r w:rsidR="00856701" w:rsidRPr="005F3228">
        <w:rPr>
          <w:rFonts w:ascii="David" w:hAnsi="David" w:cs="David"/>
          <w:sz w:val="24"/>
          <w:szCs w:val="24"/>
          <w:rtl/>
        </w:rPr>
        <w:t xml:space="preserve"> עשיית עושר, במקום בו אין הוא מוענק על-ידי דיני הקניין הרוחני, על-מנת למנוע את חוסר הצדק שעשוי להיגרם כתוצאה מהיצמדות לדיני</w:t>
      </w:r>
      <w:r w:rsidR="005F1C97" w:rsidRPr="005F3228">
        <w:rPr>
          <w:rFonts w:ascii="David" w:hAnsi="David" w:cs="David"/>
          <w:sz w:val="24"/>
          <w:szCs w:val="24"/>
          <w:rtl/>
        </w:rPr>
        <w:t>ם אלה</w:t>
      </w:r>
      <w:r w:rsidR="00856701" w:rsidRPr="005F3228">
        <w:rPr>
          <w:rFonts w:ascii="David" w:hAnsi="David" w:cs="David"/>
          <w:sz w:val="24"/>
          <w:szCs w:val="24"/>
          <w:rtl/>
        </w:rPr>
        <w:t>.</w:t>
      </w:r>
      <w:r w:rsidR="00856701" w:rsidRPr="005F3228">
        <w:rPr>
          <w:rStyle w:val="FootnoteReference"/>
          <w:rFonts w:ascii="David" w:hAnsi="David" w:cs="David"/>
          <w:sz w:val="24"/>
          <w:szCs w:val="24"/>
          <w:rtl/>
        </w:rPr>
        <w:footnoteReference w:id="28"/>
      </w:r>
      <w:r w:rsidR="00856701" w:rsidRPr="005F3228">
        <w:rPr>
          <w:rFonts w:ascii="David" w:hAnsi="David" w:cs="David"/>
          <w:sz w:val="24"/>
          <w:szCs w:val="24"/>
          <w:rtl/>
        </w:rPr>
        <w:t xml:space="preserve"> </w:t>
      </w:r>
      <w:r w:rsidR="005F1C97" w:rsidRPr="005F3228">
        <w:rPr>
          <w:rFonts w:ascii="David" w:hAnsi="David" w:cs="David"/>
          <w:sz w:val="24"/>
          <w:szCs w:val="24"/>
          <w:rtl/>
        </w:rPr>
        <w:t xml:space="preserve">בדומה לכך, עמד גם </w:t>
      </w:r>
      <w:r w:rsidR="00856701" w:rsidRPr="005F3228">
        <w:rPr>
          <w:rFonts w:ascii="David" w:hAnsi="David" w:cs="David"/>
          <w:sz w:val="24"/>
          <w:szCs w:val="24"/>
          <w:rtl/>
        </w:rPr>
        <w:t>השופט זמיר</w:t>
      </w:r>
      <w:r w:rsidR="005F1C97" w:rsidRPr="005F3228">
        <w:rPr>
          <w:rFonts w:ascii="David" w:hAnsi="David" w:cs="David"/>
          <w:sz w:val="24"/>
          <w:szCs w:val="24"/>
          <w:rtl/>
        </w:rPr>
        <w:t xml:space="preserve"> על כך</w:t>
      </w:r>
      <w:r w:rsidR="00856701" w:rsidRPr="005F3228">
        <w:rPr>
          <w:rFonts w:ascii="David" w:hAnsi="David" w:cs="David"/>
          <w:sz w:val="24"/>
          <w:szCs w:val="24"/>
          <w:rtl/>
        </w:rPr>
        <w:t xml:space="preserve"> </w:t>
      </w:r>
      <w:r w:rsidR="005F1C97" w:rsidRPr="005F3228">
        <w:rPr>
          <w:rFonts w:ascii="David" w:hAnsi="David" w:cs="David"/>
          <w:sz w:val="24"/>
          <w:szCs w:val="24"/>
          <w:rtl/>
        </w:rPr>
        <w:t>ש</w:t>
      </w:r>
      <w:r w:rsidR="00856701" w:rsidRPr="005F3228">
        <w:rPr>
          <w:rFonts w:ascii="David" w:hAnsi="David" w:cs="David"/>
          <w:sz w:val="24"/>
          <w:szCs w:val="24"/>
          <w:rtl/>
        </w:rPr>
        <w:t xml:space="preserve">ההגנה המוצעת על-ידי </w:t>
      </w:r>
      <w:r w:rsidR="005F1C97" w:rsidRPr="005F3228">
        <w:rPr>
          <w:rFonts w:ascii="David" w:hAnsi="David" w:cs="David"/>
          <w:sz w:val="24"/>
          <w:szCs w:val="24"/>
          <w:rtl/>
        </w:rPr>
        <w:t>דיני הקניין הרוחני</w:t>
      </w:r>
      <w:r w:rsidR="00856701" w:rsidRPr="005F3228">
        <w:rPr>
          <w:rFonts w:ascii="David" w:hAnsi="David" w:cs="David"/>
          <w:sz w:val="24"/>
          <w:szCs w:val="24"/>
          <w:rtl/>
        </w:rPr>
        <w:t xml:space="preserve"> לוקה בחסר. כך, לדוגמה, דרישת הרישום של מדגם, הכרוכה בהשקעה של זמן וממון, אינה הולמת מוצרי אופנה, שיש להם משך חיים קצר, או מוצרים פשוטים וזולים</w:t>
      </w:r>
      <w:r w:rsidR="005F1C97" w:rsidRPr="005F3228">
        <w:rPr>
          <w:rFonts w:ascii="David" w:hAnsi="David" w:cs="David"/>
          <w:sz w:val="24"/>
          <w:szCs w:val="24"/>
          <w:rtl/>
        </w:rPr>
        <w:t xml:space="preserve"> </w:t>
      </w:r>
      <w:r w:rsidR="00856701" w:rsidRPr="005F3228">
        <w:rPr>
          <w:rFonts w:ascii="David" w:hAnsi="David" w:cs="David"/>
          <w:sz w:val="24"/>
          <w:szCs w:val="24"/>
          <w:rtl/>
        </w:rPr>
        <w:t>שהצלחתם בשוק אינה ידועה מראש. מאחר שדיני הקני</w:t>
      </w:r>
      <w:r w:rsidR="002D301C" w:rsidRPr="005F3228">
        <w:rPr>
          <w:rFonts w:ascii="David" w:hAnsi="David" w:cs="David" w:hint="cs"/>
          <w:sz w:val="24"/>
          <w:szCs w:val="24"/>
          <w:rtl/>
        </w:rPr>
        <w:t>י</w:t>
      </w:r>
      <w:r w:rsidR="00856701" w:rsidRPr="005F3228">
        <w:rPr>
          <w:rFonts w:ascii="David" w:hAnsi="David" w:cs="David"/>
          <w:sz w:val="24"/>
          <w:szCs w:val="24"/>
          <w:rtl/>
        </w:rPr>
        <w:t>ן הרוחני לא התאימו עצמם, במשך שנים רבות, למוצרים כאלה ודומים לאלה, והותירו אותם ללא כל הגנה, מן הראוי שמערכת המשפט תמלא את החסר באמצעות דינים אחרים.</w:t>
      </w:r>
      <w:bookmarkStart w:id="18" w:name="_Ref27914270"/>
      <w:r w:rsidR="00856701" w:rsidRPr="005F3228">
        <w:rPr>
          <w:rStyle w:val="FootnoteReference"/>
          <w:rFonts w:ascii="David" w:hAnsi="David" w:cs="David"/>
          <w:sz w:val="24"/>
          <w:szCs w:val="24"/>
          <w:rtl/>
        </w:rPr>
        <w:footnoteReference w:id="29"/>
      </w:r>
      <w:bookmarkEnd w:id="18"/>
      <w:r w:rsidR="00856701" w:rsidRPr="005F3228">
        <w:rPr>
          <w:rFonts w:ascii="David" w:hAnsi="David" w:cs="David"/>
          <w:sz w:val="24"/>
          <w:szCs w:val="24"/>
          <w:rtl/>
        </w:rPr>
        <w:t xml:space="preserve"> </w:t>
      </w:r>
    </w:p>
    <w:p w14:paraId="65908534" w14:textId="77777777" w:rsidR="00F33761" w:rsidRPr="005F3228" w:rsidRDefault="00F33761" w:rsidP="00A971E0">
      <w:pPr>
        <w:spacing w:line="300" w:lineRule="exact"/>
        <w:jc w:val="both"/>
        <w:rPr>
          <w:rFonts w:ascii="David" w:hAnsi="David" w:cs="David"/>
          <w:sz w:val="24"/>
          <w:szCs w:val="24"/>
          <w:rtl/>
        </w:rPr>
      </w:pPr>
      <w:r w:rsidRPr="005F3228">
        <w:rPr>
          <w:rFonts w:ascii="David" w:hAnsi="David" w:cs="David"/>
          <w:sz w:val="24"/>
          <w:szCs w:val="24"/>
          <w:rtl/>
        </w:rPr>
        <w:t>שופטי הרוב התבססו גם על כך שדיני הקניין הרוחני ודיני עשיית עושר ולא במשפט מצויים במישורים שונים, אלה בתחום הזכויות הקנייניות ואלה בתחום החיובים האובליגטוריים.</w:t>
      </w:r>
      <w:r w:rsidRPr="005F3228">
        <w:rPr>
          <w:rStyle w:val="FootnoteReference"/>
          <w:rFonts w:ascii="David" w:hAnsi="David" w:cs="David"/>
          <w:sz w:val="24"/>
          <w:szCs w:val="24"/>
          <w:rtl/>
        </w:rPr>
        <w:footnoteReference w:id="30"/>
      </w:r>
      <w:r w:rsidRPr="005F3228">
        <w:rPr>
          <w:rFonts w:ascii="David" w:hAnsi="David" w:cs="David"/>
          <w:sz w:val="24"/>
          <w:szCs w:val="24"/>
          <w:rtl/>
        </w:rPr>
        <w:t xml:space="preserve"> בהקשר לכך, הבהיר הנשיא</w:t>
      </w:r>
      <w:r w:rsidR="00A971E0" w:rsidRPr="005F3228">
        <w:rPr>
          <w:rFonts w:ascii="David" w:hAnsi="David" w:cs="David" w:hint="cs"/>
          <w:sz w:val="24"/>
          <w:szCs w:val="24"/>
          <w:rtl/>
        </w:rPr>
        <w:t xml:space="preserve"> (דאז) </w:t>
      </w:r>
      <w:r w:rsidRPr="005F3228">
        <w:rPr>
          <w:rFonts w:ascii="David" w:hAnsi="David" w:cs="David"/>
          <w:sz w:val="24"/>
          <w:szCs w:val="24"/>
          <w:rtl/>
        </w:rPr>
        <w:t>ברק, כי אף לנוכח אפשרות לקבלת סעד בעשיית עושר עדיין יהיה טעם רב מבחינת מפתחי המצאות ועיצובים לזכות בהגנת דיני הפטנטים והמדגמים, וזאת לנוכח ההבדלים היסודיים בין ההגנות, ועל-כן אין חשש שדיני הקניין הרוחני יתייתרו כתוצאה מקיומה של עילת תביעה אפשרית בעשיית עושר. בין היתר, עוצמת ההגנה הניתנת במסגרת דיני הפטנטים והמדגמים גדולה יותר, שכן אין הם מסתפקים במניעת העתקה, אלא מקנים לבעל הזכות אפשרות למנוע גם פיתוח עצמאי של המוצר. דיני הקניין הרוחני אף מעניקים לבעל הזכות הרשומה מידה ניכרת של ודאות, בעוד שמצבו של מי שלא רושם מדגם או פטנט ודאי הרבה פחות, שכן העילה בעשיית עושר ולא במשפט דורשת הוכחה של יסודות שונים.</w:t>
      </w:r>
      <w:r w:rsidRPr="005F3228">
        <w:rPr>
          <w:rStyle w:val="FootnoteReference"/>
          <w:rFonts w:ascii="David" w:hAnsi="David" w:cs="David"/>
          <w:sz w:val="24"/>
          <w:szCs w:val="24"/>
          <w:rtl/>
        </w:rPr>
        <w:footnoteReference w:id="31"/>
      </w:r>
    </w:p>
    <w:p w14:paraId="74530EE7" w14:textId="77777777" w:rsidR="00566ED0" w:rsidRPr="005F3228" w:rsidRDefault="001408DC" w:rsidP="009541EB">
      <w:pPr>
        <w:spacing w:line="300" w:lineRule="exact"/>
        <w:jc w:val="both"/>
        <w:rPr>
          <w:rFonts w:ascii="David" w:hAnsi="David" w:cs="David"/>
          <w:sz w:val="24"/>
          <w:szCs w:val="24"/>
          <w:rtl/>
        </w:rPr>
      </w:pPr>
      <w:r w:rsidRPr="005F3228">
        <w:rPr>
          <w:rFonts w:ascii="David" w:hAnsi="David" w:cs="David"/>
          <w:sz w:val="24"/>
          <w:szCs w:val="24"/>
          <w:rtl/>
        </w:rPr>
        <w:lastRenderedPageBreak/>
        <w:t xml:space="preserve">יחד עם זאת, גם שופטי הרוב הסכימו, כי לא בכל מקרה של חיקוי או העתקה תקום עילה </w:t>
      </w:r>
      <w:r w:rsidR="00D36825" w:rsidRPr="005F3228">
        <w:rPr>
          <w:rFonts w:ascii="David" w:hAnsi="David" w:cs="David"/>
          <w:sz w:val="24"/>
          <w:szCs w:val="24"/>
          <w:rtl/>
        </w:rPr>
        <w:t>בעשיית עושר</w:t>
      </w:r>
      <w:r w:rsidR="00EA08B8" w:rsidRPr="005F3228">
        <w:rPr>
          <w:rFonts w:ascii="David" w:hAnsi="David" w:cs="David" w:hint="cs"/>
          <w:sz w:val="24"/>
          <w:szCs w:val="24"/>
          <w:rtl/>
        </w:rPr>
        <w:t xml:space="preserve">, אלא </w:t>
      </w:r>
      <w:r w:rsidRPr="005F3228">
        <w:rPr>
          <w:rFonts w:ascii="David" w:hAnsi="David" w:cs="David"/>
          <w:sz w:val="24"/>
          <w:szCs w:val="24"/>
          <w:rtl/>
        </w:rPr>
        <w:t>נדרש</w:t>
      </w:r>
      <w:r w:rsidR="00231CF1" w:rsidRPr="005F3228">
        <w:rPr>
          <w:rFonts w:ascii="David" w:hAnsi="David" w:cs="David" w:hint="cs"/>
          <w:sz w:val="24"/>
          <w:szCs w:val="24"/>
          <w:rtl/>
        </w:rPr>
        <w:t xml:space="preserve"> </w:t>
      </w:r>
      <w:r w:rsidRPr="005F3228">
        <w:rPr>
          <w:rFonts w:ascii="David" w:hAnsi="David" w:cs="David"/>
          <w:sz w:val="24"/>
          <w:szCs w:val="24"/>
          <w:rtl/>
        </w:rPr>
        <w:t>כי להעתקה או לחיקוי יתלווה "יסוד נוסף".</w:t>
      </w:r>
      <w:bookmarkStart w:id="19" w:name="_Ref27912919"/>
      <w:r w:rsidR="00D36825" w:rsidRPr="005F3228">
        <w:rPr>
          <w:rStyle w:val="FootnoteReference"/>
          <w:rFonts w:ascii="David" w:hAnsi="David" w:cs="David"/>
          <w:sz w:val="24"/>
          <w:szCs w:val="24"/>
          <w:rtl/>
        </w:rPr>
        <w:footnoteReference w:id="32"/>
      </w:r>
      <w:bookmarkEnd w:id="19"/>
      <w:r w:rsidRPr="005F3228">
        <w:rPr>
          <w:rFonts w:ascii="David" w:hAnsi="David" w:cs="David"/>
          <w:sz w:val="24"/>
          <w:szCs w:val="24"/>
          <w:rtl/>
        </w:rPr>
        <w:t xml:space="preserve"> </w:t>
      </w:r>
      <w:r w:rsidR="00D36825" w:rsidRPr="005F3228">
        <w:rPr>
          <w:rFonts w:ascii="David" w:hAnsi="David" w:cs="David"/>
          <w:sz w:val="24"/>
          <w:szCs w:val="24"/>
          <w:rtl/>
        </w:rPr>
        <w:t>השופטים תיארו בדרכים שונות את משמעותו של היסוד הנוסף ועמדו על מבחני עזר שונים בהם ניתן להשתמש כדי לקבוע אם הוא מתקיים.</w:t>
      </w:r>
      <w:r w:rsidR="004338CA" w:rsidRPr="005F3228">
        <w:rPr>
          <w:rFonts w:ascii="David" w:hAnsi="David" w:cs="David" w:hint="cs"/>
          <w:sz w:val="24"/>
          <w:szCs w:val="24"/>
          <w:rtl/>
        </w:rPr>
        <w:t xml:space="preserve"> כך, למשל, לגישתה של השופטת </w:t>
      </w:r>
      <w:proofErr w:type="spellStart"/>
      <w:r w:rsidR="004338CA" w:rsidRPr="005F3228">
        <w:rPr>
          <w:rFonts w:ascii="David" w:hAnsi="David" w:cs="David" w:hint="cs"/>
          <w:sz w:val="24"/>
          <w:szCs w:val="24"/>
          <w:rtl/>
        </w:rPr>
        <w:t>שטרסברג</w:t>
      </w:r>
      <w:proofErr w:type="spellEnd"/>
      <w:r w:rsidR="004338CA" w:rsidRPr="005F3228">
        <w:rPr>
          <w:rFonts w:ascii="David" w:hAnsi="David" w:cs="David" w:hint="cs"/>
          <w:sz w:val="24"/>
          <w:szCs w:val="24"/>
          <w:rtl/>
        </w:rPr>
        <w:t>-כהן, היסוד הנוסף משמעו חוסר תום-לב או התנהגות פסולה הפוגעת בחוש ההגינות והצדק,</w:t>
      </w:r>
      <w:r w:rsidR="00EA08B8" w:rsidRPr="005F3228">
        <w:rPr>
          <w:rStyle w:val="FootnoteReference"/>
          <w:rFonts w:ascii="David" w:hAnsi="David" w:cs="David"/>
          <w:sz w:val="24"/>
          <w:szCs w:val="24"/>
          <w:rtl/>
        </w:rPr>
        <w:footnoteReference w:id="33"/>
      </w:r>
      <w:r w:rsidR="004338CA" w:rsidRPr="005F3228">
        <w:rPr>
          <w:rFonts w:ascii="David" w:hAnsi="David" w:cs="David" w:hint="cs"/>
          <w:sz w:val="24"/>
          <w:szCs w:val="24"/>
          <w:rtl/>
        </w:rPr>
        <w:t xml:space="preserve"> בעוד שלגישתו של הנשיא </w:t>
      </w:r>
      <w:r w:rsidR="009541EB" w:rsidRPr="005F3228">
        <w:rPr>
          <w:rFonts w:ascii="David" w:hAnsi="David" w:cs="David" w:hint="cs"/>
          <w:sz w:val="24"/>
          <w:szCs w:val="24"/>
          <w:rtl/>
        </w:rPr>
        <w:t xml:space="preserve">(דאז) </w:t>
      </w:r>
      <w:r w:rsidR="004338CA" w:rsidRPr="005F3228">
        <w:rPr>
          <w:rFonts w:ascii="David" w:hAnsi="David" w:cs="David" w:hint="cs"/>
          <w:sz w:val="24"/>
          <w:szCs w:val="24"/>
          <w:rtl/>
        </w:rPr>
        <w:t>ברק, היסוד הנוסף מתקיים כאשר פעולת החיקוי נעשתה בנסיבות של תחרות לא הוגנת.</w:t>
      </w:r>
      <w:bookmarkStart w:id="20" w:name="_Ref27912818"/>
      <w:r w:rsidR="00EA08B8" w:rsidRPr="005F3228">
        <w:rPr>
          <w:rStyle w:val="FootnoteReference"/>
          <w:rFonts w:ascii="David" w:hAnsi="David" w:cs="David"/>
          <w:sz w:val="24"/>
          <w:szCs w:val="24"/>
          <w:rtl/>
        </w:rPr>
        <w:footnoteReference w:id="34"/>
      </w:r>
      <w:bookmarkEnd w:id="20"/>
      <w:r w:rsidR="004338CA" w:rsidRPr="005F3228">
        <w:rPr>
          <w:rFonts w:ascii="David" w:hAnsi="David" w:cs="David" w:hint="cs"/>
          <w:sz w:val="24"/>
          <w:szCs w:val="24"/>
          <w:rtl/>
        </w:rPr>
        <w:t xml:space="preserve"> </w:t>
      </w:r>
      <w:r w:rsidR="00332A37" w:rsidRPr="005F3228">
        <w:rPr>
          <w:rFonts w:ascii="David" w:hAnsi="David" w:cs="David"/>
          <w:sz w:val="24"/>
          <w:szCs w:val="24"/>
          <w:rtl/>
        </w:rPr>
        <w:t>ל</w:t>
      </w:r>
      <w:r w:rsidR="00332A37" w:rsidRPr="005F3228">
        <w:rPr>
          <w:rFonts w:ascii="David" w:hAnsi="David" w:cs="David" w:hint="cs"/>
          <w:sz w:val="24"/>
          <w:szCs w:val="24"/>
          <w:rtl/>
        </w:rPr>
        <w:t>עמדת</w:t>
      </w:r>
      <w:r w:rsidR="00332A37" w:rsidRPr="005F3228">
        <w:rPr>
          <w:rFonts w:ascii="David" w:hAnsi="David" w:cs="David"/>
          <w:sz w:val="24"/>
          <w:szCs w:val="24"/>
          <w:rtl/>
        </w:rPr>
        <w:t xml:space="preserve">ו </w:t>
      </w:r>
      <w:r w:rsidR="00396808" w:rsidRPr="005F3228">
        <w:rPr>
          <w:rFonts w:ascii="David" w:hAnsi="David" w:cs="David"/>
          <w:sz w:val="24"/>
          <w:szCs w:val="24"/>
          <w:rtl/>
        </w:rPr>
        <w:t xml:space="preserve">של השופט זמיר, </w:t>
      </w:r>
      <w:r w:rsidR="00094ABF" w:rsidRPr="005F3228">
        <w:rPr>
          <w:rFonts w:ascii="David" w:hAnsi="David" w:cs="David" w:hint="cs"/>
          <w:sz w:val="24"/>
          <w:szCs w:val="24"/>
          <w:rtl/>
        </w:rPr>
        <w:t>ייתכן שב</w:t>
      </w:r>
      <w:r w:rsidR="00396808" w:rsidRPr="005F3228">
        <w:rPr>
          <w:rFonts w:ascii="David" w:hAnsi="David" w:cs="David"/>
          <w:sz w:val="24"/>
          <w:szCs w:val="24"/>
          <w:rtl/>
        </w:rPr>
        <w:t xml:space="preserve">מקרים מסוימים </w:t>
      </w:r>
      <w:r w:rsidR="00094ABF" w:rsidRPr="005F3228">
        <w:rPr>
          <w:rFonts w:ascii="David" w:hAnsi="David" w:cs="David" w:hint="cs"/>
          <w:sz w:val="24"/>
          <w:szCs w:val="24"/>
          <w:rtl/>
        </w:rPr>
        <w:t>כאשר יש חומרה מיוחדת בהעתקה, ניתן לוותר על דרישת היסוד הנוסף.</w:t>
      </w:r>
      <w:r w:rsidR="00396808" w:rsidRPr="005F3228">
        <w:rPr>
          <w:rStyle w:val="FootnoteReference"/>
          <w:rFonts w:ascii="David" w:hAnsi="David" w:cs="David"/>
          <w:sz w:val="24"/>
          <w:szCs w:val="24"/>
          <w:rtl/>
        </w:rPr>
        <w:footnoteReference w:id="35"/>
      </w:r>
      <w:r w:rsidR="00231CF1" w:rsidRPr="005F3228">
        <w:rPr>
          <w:rFonts w:ascii="David" w:hAnsi="David" w:cs="David" w:hint="cs"/>
          <w:sz w:val="24"/>
          <w:szCs w:val="24"/>
          <w:rtl/>
        </w:rPr>
        <w:t xml:space="preserve"> </w:t>
      </w:r>
      <w:r w:rsidR="0063719C" w:rsidRPr="005F3228">
        <w:rPr>
          <w:rFonts w:ascii="David" w:hAnsi="David" w:cs="David"/>
          <w:sz w:val="24"/>
          <w:szCs w:val="24"/>
          <w:rtl/>
        </w:rPr>
        <w:t xml:space="preserve">לגבי </w:t>
      </w:r>
      <w:r w:rsidR="005F1C97" w:rsidRPr="005F3228">
        <w:rPr>
          <w:rFonts w:ascii="David" w:hAnsi="David" w:cs="David"/>
          <w:sz w:val="24"/>
          <w:szCs w:val="24"/>
          <w:rtl/>
        </w:rPr>
        <w:t xml:space="preserve">שלושת </w:t>
      </w:r>
      <w:r w:rsidR="0063719C" w:rsidRPr="005F3228">
        <w:rPr>
          <w:rFonts w:ascii="David" w:hAnsi="David" w:cs="David"/>
          <w:sz w:val="24"/>
          <w:szCs w:val="24"/>
          <w:rtl/>
        </w:rPr>
        <w:t>המקרים הקונקרטיים</w:t>
      </w:r>
      <w:r w:rsidR="005F1C97" w:rsidRPr="005F3228">
        <w:rPr>
          <w:rFonts w:ascii="David" w:hAnsi="David" w:cs="David"/>
          <w:sz w:val="24"/>
          <w:szCs w:val="24"/>
          <w:rtl/>
        </w:rPr>
        <w:t xml:space="preserve"> שנידונו במסגרת ההליך</w:t>
      </w:r>
      <w:r w:rsidR="0063719C" w:rsidRPr="005F3228">
        <w:rPr>
          <w:rFonts w:ascii="David" w:hAnsi="David" w:cs="David"/>
          <w:sz w:val="24"/>
          <w:szCs w:val="24"/>
          <w:rtl/>
        </w:rPr>
        <w:t xml:space="preserve">, </w:t>
      </w:r>
      <w:r w:rsidR="005F1C97" w:rsidRPr="005F3228">
        <w:rPr>
          <w:rFonts w:ascii="David" w:hAnsi="David" w:cs="David"/>
          <w:sz w:val="24"/>
          <w:szCs w:val="24"/>
          <w:rtl/>
        </w:rPr>
        <w:t xml:space="preserve">הגיע </w:t>
      </w:r>
      <w:r w:rsidR="0063719C" w:rsidRPr="005F3228">
        <w:rPr>
          <w:rFonts w:ascii="David" w:hAnsi="David" w:cs="David"/>
          <w:sz w:val="24"/>
          <w:szCs w:val="24"/>
          <w:rtl/>
        </w:rPr>
        <w:t xml:space="preserve">בית המשפט </w:t>
      </w:r>
      <w:r w:rsidR="005F1C97" w:rsidRPr="005F3228">
        <w:rPr>
          <w:rFonts w:ascii="David" w:hAnsi="David" w:cs="David"/>
          <w:sz w:val="24"/>
          <w:szCs w:val="24"/>
          <w:rtl/>
        </w:rPr>
        <w:t xml:space="preserve">העליון למסקנה </w:t>
      </w:r>
      <w:r w:rsidR="0063719C" w:rsidRPr="005F3228">
        <w:rPr>
          <w:rFonts w:ascii="David" w:hAnsi="David" w:cs="David"/>
          <w:sz w:val="24"/>
          <w:szCs w:val="24"/>
          <w:rtl/>
        </w:rPr>
        <w:t xml:space="preserve">כי באחד </w:t>
      </w:r>
      <w:r w:rsidR="005F1C97" w:rsidRPr="005F3228">
        <w:rPr>
          <w:rFonts w:ascii="David" w:hAnsi="David" w:cs="David"/>
          <w:sz w:val="24"/>
          <w:szCs w:val="24"/>
          <w:rtl/>
        </w:rPr>
        <w:t xml:space="preserve">מהם </w:t>
      </w:r>
      <w:r w:rsidR="0063719C" w:rsidRPr="005F3228">
        <w:rPr>
          <w:rFonts w:ascii="David" w:hAnsi="David" w:cs="David"/>
          <w:sz w:val="24"/>
          <w:szCs w:val="24"/>
          <w:rtl/>
        </w:rPr>
        <w:t xml:space="preserve">(פרשת </w:t>
      </w:r>
      <w:r w:rsidR="0063719C" w:rsidRPr="005F3228">
        <w:rPr>
          <w:rFonts w:ascii="David" w:hAnsi="David" w:cs="David"/>
          <w:b/>
          <w:bCs/>
          <w:sz w:val="24"/>
          <w:szCs w:val="24"/>
          <w:rtl/>
        </w:rPr>
        <w:t>הרר</w:t>
      </w:r>
      <w:r w:rsidR="0063719C" w:rsidRPr="005F3228">
        <w:rPr>
          <w:rFonts w:ascii="David" w:hAnsi="David" w:cs="David"/>
          <w:sz w:val="24"/>
          <w:szCs w:val="24"/>
          <w:rtl/>
        </w:rPr>
        <w:t xml:space="preserve">) אכן מתקיים יסוד נוסף (או חומרה מיוחדת), שכן </w:t>
      </w:r>
      <w:r w:rsidRPr="005F3228">
        <w:rPr>
          <w:rFonts w:ascii="David" w:hAnsi="David" w:cs="David"/>
          <w:sz w:val="24"/>
          <w:szCs w:val="24"/>
          <w:rtl/>
        </w:rPr>
        <w:t>מדובר במוצר חדשני ומורכב, פרי פיתוח מקורי ומאמץ ממושך, שהועתק בשלמותו, בתהליך של הנדסה חוזרת, תוך שמירה על זהות ו</w:t>
      </w:r>
      <w:r w:rsidR="00231CF1" w:rsidRPr="005F3228">
        <w:rPr>
          <w:rFonts w:ascii="David" w:hAnsi="David" w:cs="David" w:hint="cs"/>
          <w:sz w:val="24"/>
          <w:szCs w:val="24"/>
          <w:rtl/>
        </w:rPr>
        <w:t>יזו</w:t>
      </w:r>
      <w:r w:rsidRPr="005F3228">
        <w:rPr>
          <w:rFonts w:ascii="David" w:hAnsi="David" w:cs="David"/>
          <w:sz w:val="24"/>
          <w:szCs w:val="24"/>
          <w:rtl/>
        </w:rPr>
        <w:t>אלית מלאה, על אף קיומן של חלופות להעתקה כזו.</w:t>
      </w:r>
      <w:bookmarkStart w:id="21" w:name="_Ref27912067"/>
      <w:r w:rsidR="00231CF1" w:rsidRPr="005F3228">
        <w:rPr>
          <w:rStyle w:val="FootnoteReference"/>
          <w:rFonts w:ascii="David" w:hAnsi="David" w:cs="David"/>
          <w:sz w:val="24"/>
          <w:szCs w:val="24"/>
          <w:rtl/>
        </w:rPr>
        <w:footnoteReference w:id="36"/>
      </w:r>
      <w:bookmarkEnd w:id="21"/>
      <w:r w:rsidRPr="005F3228">
        <w:rPr>
          <w:rFonts w:ascii="David" w:hAnsi="David" w:cs="David"/>
          <w:sz w:val="24"/>
          <w:szCs w:val="24"/>
          <w:rtl/>
        </w:rPr>
        <w:t xml:space="preserve"> נוסף </w:t>
      </w:r>
      <w:r w:rsidR="00231CF1" w:rsidRPr="005F3228">
        <w:rPr>
          <w:rFonts w:ascii="David" w:hAnsi="David" w:cs="David" w:hint="cs"/>
          <w:sz w:val="24"/>
          <w:szCs w:val="24"/>
          <w:rtl/>
        </w:rPr>
        <w:t xml:space="preserve">על </w:t>
      </w:r>
      <w:r w:rsidRPr="005F3228">
        <w:rPr>
          <w:rFonts w:ascii="David" w:hAnsi="David" w:cs="David"/>
          <w:sz w:val="24"/>
          <w:szCs w:val="24"/>
          <w:rtl/>
        </w:rPr>
        <w:t>כך</w:t>
      </w:r>
      <w:r w:rsidR="00231CF1" w:rsidRPr="005F3228">
        <w:rPr>
          <w:rFonts w:ascii="David" w:hAnsi="David" w:cs="David" w:hint="cs"/>
          <w:sz w:val="24"/>
          <w:szCs w:val="24"/>
          <w:rtl/>
        </w:rPr>
        <w:t xml:space="preserve">, </w:t>
      </w:r>
      <w:r w:rsidRPr="005F3228">
        <w:rPr>
          <w:rFonts w:ascii="David" w:hAnsi="David" w:cs="David"/>
          <w:sz w:val="24"/>
          <w:szCs w:val="24"/>
          <w:rtl/>
        </w:rPr>
        <w:t>בין הצדדים היו קיימים יחסי תחרות, והמעתיקים ידעו שהם מעתיקים מוצר פרי פיתוחם של מתחריהם.</w:t>
      </w:r>
      <w:bookmarkStart w:id="22" w:name="_Ref27912070"/>
      <w:r w:rsidR="0063719C" w:rsidRPr="005F3228">
        <w:rPr>
          <w:rStyle w:val="FootnoteReference"/>
          <w:rFonts w:ascii="David" w:hAnsi="David" w:cs="David"/>
          <w:sz w:val="24"/>
          <w:szCs w:val="24"/>
          <w:rtl/>
        </w:rPr>
        <w:footnoteReference w:id="37"/>
      </w:r>
      <w:bookmarkEnd w:id="22"/>
      <w:r w:rsidRPr="005F3228">
        <w:rPr>
          <w:rFonts w:ascii="David" w:hAnsi="David" w:cs="David"/>
          <w:sz w:val="24"/>
          <w:szCs w:val="24"/>
          <w:rtl/>
        </w:rPr>
        <w:t xml:space="preserve"> </w:t>
      </w:r>
      <w:r w:rsidR="00011ACB" w:rsidRPr="005F3228">
        <w:rPr>
          <w:rFonts w:ascii="David" w:hAnsi="David" w:cs="David"/>
          <w:sz w:val="24"/>
          <w:szCs w:val="24"/>
          <w:rtl/>
        </w:rPr>
        <w:t xml:space="preserve"> </w:t>
      </w:r>
    </w:p>
    <w:p w14:paraId="316FAD27" w14:textId="77777777" w:rsidR="00566ED0" w:rsidRPr="005F3228" w:rsidRDefault="000615D2" w:rsidP="000615D2">
      <w:pPr>
        <w:pStyle w:val="Heading2"/>
        <w:rPr>
          <w:rFonts w:ascii="David" w:hAnsi="David" w:cs="David"/>
          <w:b/>
          <w:bCs/>
          <w:color w:val="auto"/>
          <w:sz w:val="24"/>
          <w:szCs w:val="24"/>
        </w:rPr>
      </w:pPr>
      <w:bookmarkStart w:id="23" w:name="_Toc28175978"/>
      <w:r w:rsidRPr="005F3228">
        <w:rPr>
          <w:rFonts w:ascii="David" w:hAnsi="David" w:cs="David" w:hint="cs"/>
          <w:b/>
          <w:bCs/>
          <w:color w:val="auto"/>
          <w:sz w:val="24"/>
          <w:szCs w:val="24"/>
          <w:rtl/>
        </w:rPr>
        <w:t>2</w:t>
      </w:r>
      <w:r w:rsidR="00566ED0" w:rsidRPr="005F3228">
        <w:rPr>
          <w:rFonts w:ascii="David" w:hAnsi="David" w:cs="David"/>
          <w:b/>
          <w:bCs/>
          <w:color w:val="auto"/>
          <w:sz w:val="24"/>
          <w:szCs w:val="24"/>
          <w:rtl/>
        </w:rPr>
        <w:t xml:space="preserve">. בעקבות </w:t>
      </w:r>
      <w:proofErr w:type="spellStart"/>
      <w:r w:rsidR="00566ED0" w:rsidRPr="005F3228">
        <w:rPr>
          <w:rFonts w:ascii="David" w:hAnsi="David" w:cs="David"/>
          <w:b/>
          <w:bCs/>
          <w:color w:val="auto"/>
          <w:sz w:val="24"/>
          <w:szCs w:val="24"/>
          <w:rtl/>
        </w:rPr>
        <w:t>א.ש.י.ר</w:t>
      </w:r>
      <w:proofErr w:type="spellEnd"/>
      <w:r w:rsidR="00566ED0" w:rsidRPr="005F3228">
        <w:rPr>
          <w:rFonts w:ascii="David" w:hAnsi="David" w:cs="David"/>
          <w:b/>
          <w:bCs/>
          <w:color w:val="auto"/>
          <w:sz w:val="24"/>
          <w:szCs w:val="24"/>
          <w:rtl/>
        </w:rPr>
        <w:t xml:space="preserve"> – </w:t>
      </w:r>
      <w:r w:rsidR="00467098" w:rsidRPr="005F3228">
        <w:rPr>
          <w:rFonts w:ascii="David" w:hAnsi="David" w:cs="David"/>
          <w:b/>
          <w:bCs/>
          <w:color w:val="auto"/>
          <w:sz w:val="24"/>
          <w:szCs w:val="24"/>
          <w:rtl/>
        </w:rPr>
        <w:t>ביקור</w:t>
      </w:r>
      <w:r w:rsidR="00C10A5B" w:rsidRPr="005F3228">
        <w:rPr>
          <w:rFonts w:ascii="David" w:hAnsi="David" w:cs="David"/>
          <w:b/>
          <w:bCs/>
          <w:color w:val="auto"/>
          <w:sz w:val="24"/>
          <w:szCs w:val="24"/>
          <w:rtl/>
        </w:rPr>
        <w:t>ו</w:t>
      </w:r>
      <w:r w:rsidR="00467098" w:rsidRPr="005F3228">
        <w:rPr>
          <w:rFonts w:ascii="David" w:hAnsi="David" w:cs="David"/>
          <w:b/>
          <w:bCs/>
          <w:color w:val="auto"/>
          <w:sz w:val="24"/>
          <w:szCs w:val="24"/>
          <w:rtl/>
        </w:rPr>
        <w:t>ת</w:t>
      </w:r>
      <w:r w:rsidR="00566ED0" w:rsidRPr="005F3228">
        <w:rPr>
          <w:rFonts w:ascii="David" w:hAnsi="David" w:cs="David"/>
          <w:b/>
          <w:bCs/>
          <w:color w:val="auto"/>
          <w:sz w:val="24"/>
          <w:szCs w:val="24"/>
          <w:rtl/>
        </w:rPr>
        <w:t xml:space="preserve"> ותחזיות</w:t>
      </w:r>
      <w:bookmarkEnd w:id="23"/>
    </w:p>
    <w:p w14:paraId="2452871D" w14:textId="4FE3032F" w:rsidR="001408DC" w:rsidRPr="005F3228" w:rsidRDefault="00566ED0" w:rsidP="00E81276">
      <w:pPr>
        <w:spacing w:line="300" w:lineRule="exact"/>
        <w:jc w:val="both"/>
        <w:rPr>
          <w:rFonts w:ascii="David" w:hAnsi="David" w:cs="David"/>
          <w:sz w:val="24"/>
          <w:szCs w:val="24"/>
          <w:rtl/>
        </w:rPr>
      </w:pPr>
      <w:r w:rsidRPr="005F3228">
        <w:rPr>
          <w:rFonts w:ascii="David" w:hAnsi="David" w:cs="David" w:hint="cs"/>
          <w:sz w:val="24"/>
          <w:szCs w:val="24"/>
          <w:rtl/>
        </w:rPr>
        <w:t xml:space="preserve"> </w:t>
      </w:r>
      <w:r w:rsidR="001408DC" w:rsidRPr="005F3228">
        <w:rPr>
          <w:rFonts w:ascii="David" w:hAnsi="David" w:cs="David"/>
          <w:sz w:val="24"/>
          <w:szCs w:val="24"/>
          <w:rtl/>
        </w:rPr>
        <w:t xml:space="preserve">פסק הדין בעניין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001408DC" w:rsidRPr="005F3228">
        <w:rPr>
          <w:rFonts w:ascii="David" w:hAnsi="David" w:cs="David"/>
          <w:sz w:val="24"/>
          <w:szCs w:val="24"/>
          <w:rtl/>
        </w:rPr>
        <w:t xml:space="preserve"> עורר הדים רבים בקרב קהיליית המשפט בישראל. </w:t>
      </w:r>
      <w:r w:rsidR="001F06CE" w:rsidRPr="005F3228">
        <w:rPr>
          <w:rFonts w:ascii="David" w:hAnsi="David" w:cs="David"/>
          <w:sz w:val="24"/>
          <w:szCs w:val="24"/>
          <w:rtl/>
        </w:rPr>
        <w:t>חלק מן המשפטנים שעסקו ב</w:t>
      </w:r>
      <w:r w:rsidR="0093325D" w:rsidRPr="005F3228">
        <w:rPr>
          <w:rFonts w:ascii="David" w:hAnsi="David" w:cs="David"/>
          <w:sz w:val="24"/>
          <w:szCs w:val="24"/>
          <w:rtl/>
        </w:rPr>
        <w:t>נושא</w:t>
      </w:r>
      <w:r w:rsidR="001F06CE" w:rsidRPr="005F3228">
        <w:rPr>
          <w:rFonts w:ascii="David" w:hAnsi="David" w:cs="David"/>
          <w:sz w:val="24"/>
          <w:szCs w:val="24"/>
          <w:rtl/>
        </w:rPr>
        <w:t xml:space="preserve"> הביעו תמיכה בהלכה, מנימוקים דומים לאלה שעמדו ביסוד עמדת הרוב.</w:t>
      </w:r>
      <w:bookmarkStart w:id="24" w:name="_Ref28029324"/>
      <w:r w:rsidR="00636A3E" w:rsidRPr="005F3228">
        <w:rPr>
          <w:rStyle w:val="FootnoteReference"/>
          <w:rFonts w:ascii="David" w:hAnsi="David" w:cs="David"/>
          <w:sz w:val="24"/>
          <w:szCs w:val="24"/>
          <w:rtl/>
        </w:rPr>
        <w:footnoteReference w:id="38"/>
      </w:r>
      <w:bookmarkEnd w:id="24"/>
      <w:r w:rsidR="001F06CE" w:rsidRPr="005F3228">
        <w:rPr>
          <w:rFonts w:ascii="David" w:hAnsi="David" w:cs="David"/>
          <w:sz w:val="24"/>
          <w:szCs w:val="24"/>
          <w:rtl/>
        </w:rPr>
        <w:t xml:space="preserve"> </w:t>
      </w:r>
      <w:r w:rsidR="00534F2E" w:rsidRPr="005F3228">
        <w:rPr>
          <w:rFonts w:ascii="David" w:hAnsi="David" w:cs="David" w:hint="cs"/>
          <w:sz w:val="24"/>
          <w:szCs w:val="24"/>
          <w:rtl/>
        </w:rPr>
        <w:t>מן הצד השני, ההלכה זכתה לביקורת חריפה.</w:t>
      </w:r>
      <w:bookmarkStart w:id="25" w:name="_Ref27913542"/>
      <w:r w:rsidR="00BC28C4" w:rsidRPr="005F3228">
        <w:rPr>
          <w:rStyle w:val="FootnoteReference"/>
          <w:rFonts w:ascii="David" w:hAnsi="David" w:cs="David"/>
          <w:sz w:val="24"/>
          <w:szCs w:val="24"/>
          <w:rtl/>
        </w:rPr>
        <w:footnoteReference w:id="39"/>
      </w:r>
      <w:bookmarkEnd w:id="25"/>
      <w:r w:rsidR="00636A3E" w:rsidRPr="005F3228">
        <w:rPr>
          <w:rFonts w:ascii="David" w:hAnsi="David" w:cs="David"/>
          <w:sz w:val="24"/>
          <w:szCs w:val="24"/>
          <w:rtl/>
        </w:rPr>
        <w:t xml:space="preserve"> </w:t>
      </w:r>
      <w:r w:rsidR="00443B2C" w:rsidRPr="005F3228">
        <w:rPr>
          <w:rFonts w:ascii="David" w:hAnsi="David" w:cs="David"/>
          <w:sz w:val="24"/>
          <w:szCs w:val="24"/>
          <w:rtl/>
        </w:rPr>
        <w:t xml:space="preserve">הטעם העיקרי </w:t>
      </w:r>
      <w:r w:rsidR="00D03B9E" w:rsidRPr="005F3228">
        <w:rPr>
          <w:rFonts w:ascii="David" w:hAnsi="David" w:cs="David"/>
          <w:sz w:val="24"/>
          <w:szCs w:val="24"/>
          <w:rtl/>
        </w:rPr>
        <w:t xml:space="preserve">לביקורת </w:t>
      </w:r>
      <w:r w:rsidR="00E81276" w:rsidRPr="005F3228">
        <w:rPr>
          <w:rFonts w:ascii="David" w:hAnsi="David" w:cs="David" w:hint="cs"/>
          <w:sz w:val="24"/>
          <w:szCs w:val="24"/>
          <w:rtl/>
        </w:rPr>
        <w:t>היה</w:t>
      </w:r>
      <w:r w:rsidR="00E81276" w:rsidRPr="005F3228">
        <w:rPr>
          <w:rFonts w:ascii="David" w:hAnsi="David" w:cs="David"/>
          <w:sz w:val="24"/>
          <w:szCs w:val="24"/>
          <w:rtl/>
        </w:rPr>
        <w:t xml:space="preserve"> </w:t>
      </w:r>
      <w:r w:rsidR="00443B2C" w:rsidRPr="005F3228">
        <w:rPr>
          <w:rFonts w:ascii="David" w:hAnsi="David" w:cs="David"/>
          <w:sz w:val="24"/>
          <w:szCs w:val="24"/>
          <w:rtl/>
        </w:rPr>
        <w:t xml:space="preserve">החשש </w:t>
      </w:r>
      <w:r w:rsidR="00225534" w:rsidRPr="005F3228">
        <w:rPr>
          <w:rFonts w:ascii="David" w:hAnsi="David" w:cs="David"/>
          <w:sz w:val="24"/>
          <w:szCs w:val="24"/>
          <w:rtl/>
        </w:rPr>
        <w:t xml:space="preserve">לאפקט מצנן כתוצאה </w:t>
      </w:r>
      <w:r w:rsidR="00225534" w:rsidRPr="005F3228">
        <w:rPr>
          <w:rFonts w:ascii="David" w:hAnsi="David" w:cs="David"/>
          <w:sz w:val="24"/>
          <w:szCs w:val="24"/>
          <w:rtl/>
        </w:rPr>
        <w:lastRenderedPageBreak/>
        <w:t xml:space="preserve">מיצירתו של מסלול חלופי להטלת אחריות משפטית על מעשים של חיקוי והעתקה, </w:t>
      </w:r>
      <w:r w:rsidR="001632B6" w:rsidRPr="005F3228">
        <w:rPr>
          <w:rFonts w:ascii="David" w:hAnsi="David" w:cs="David"/>
          <w:sz w:val="24"/>
          <w:szCs w:val="24"/>
          <w:rtl/>
        </w:rPr>
        <w:t>על בסיס סטנדרטים עמומים של צדק.</w:t>
      </w:r>
      <w:r w:rsidR="001632B6" w:rsidRPr="005F3228">
        <w:rPr>
          <w:rStyle w:val="FootnoteReference"/>
          <w:rFonts w:ascii="David" w:hAnsi="David" w:cs="David"/>
          <w:sz w:val="24"/>
          <w:szCs w:val="24"/>
          <w:rtl/>
        </w:rPr>
        <w:footnoteReference w:id="40"/>
      </w:r>
      <w:r w:rsidR="008C3B97" w:rsidRPr="005F3228">
        <w:rPr>
          <w:rFonts w:ascii="David" w:hAnsi="David" w:cs="David"/>
          <w:sz w:val="24"/>
          <w:szCs w:val="24"/>
          <w:rtl/>
        </w:rPr>
        <w:t xml:space="preserve"> </w:t>
      </w:r>
      <w:r w:rsidR="00D058DC" w:rsidRPr="005F3228">
        <w:rPr>
          <w:rFonts w:ascii="David" w:hAnsi="David" w:cs="David"/>
          <w:sz w:val="24"/>
          <w:szCs w:val="24"/>
          <w:rtl/>
        </w:rPr>
        <w:t>לגישת המבקרים,</w:t>
      </w:r>
      <w:r w:rsidR="001632B6" w:rsidRPr="005F3228">
        <w:rPr>
          <w:rFonts w:ascii="David" w:hAnsi="David" w:cs="David"/>
          <w:sz w:val="24"/>
          <w:szCs w:val="24"/>
          <w:rtl/>
        </w:rPr>
        <w:t xml:space="preserve"> </w:t>
      </w:r>
      <w:r w:rsidR="00BC28C4" w:rsidRPr="005F3228">
        <w:rPr>
          <w:rFonts w:ascii="David" w:hAnsi="David" w:cs="David"/>
          <w:sz w:val="24"/>
          <w:szCs w:val="24"/>
          <w:rtl/>
        </w:rPr>
        <w:t>ניסיונם של שופטי הרוב להיאחז בכך שמדובר בזכויות המצויות במישורים שונים מתעלם מן המשמעות המעשית של הגנה על זכויות מכוח עשיית עושר לצד דיני הקניין הרוחני.</w:t>
      </w:r>
      <w:r w:rsidR="00BC28C4" w:rsidRPr="005F3228">
        <w:rPr>
          <w:rFonts w:ascii="David" w:hAnsi="David" w:cs="David"/>
          <w:sz w:val="24"/>
          <w:szCs w:val="24"/>
          <w:vertAlign w:val="superscript"/>
          <w:rtl/>
        </w:rPr>
        <w:footnoteReference w:id="41"/>
      </w:r>
      <w:r w:rsidR="00BC28C4" w:rsidRPr="005F3228">
        <w:rPr>
          <w:rFonts w:ascii="David" w:hAnsi="David" w:cs="David"/>
          <w:sz w:val="24"/>
          <w:szCs w:val="24"/>
          <w:rtl/>
        </w:rPr>
        <w:t xml:space="preserve"> </w:t>
      </w:r>
      <w:r w:rsidR="00D058DC" w:rsidRPr="005F3228">
        <w:rPr>
          <w:rFonts w:ascii="David" w:hAnsi="David" w:cs="David"/>
          <w:sz w:val="24"/>
          <w:szCs w:val="24"/>
          <w:rtl/>
        </w:rPr>
        <w:t xml:space="preserve">הלכת </w:t>
      </w:r>
      <w:proofErr w:type="spellStart"/>
      <w:r w:rsidR="008C3B97" w:rsidRPr="005F3228">
        <w:rPr>
          <w:rFonts w:ascii="David" w:hAnsi="David" w:cs="David"/>
          <w:sz w:val="24"/>
          <w:szCs w:val="24"/>
          <w:rtl/>
        </w:rPr>
        <w:t>א.ש.י.ר</w:t>
      </w:r>
      <w:proofErr w:type="spellEnd"/>
      <w:r w:rsidR="00505EE1" w:rsidRPr="005F3228">
        <w:rPr>
          <w:rFonts w:ascii="David" w:hAnsi="David" w:cs="David"/>
          <w:sz w:val="24"/>
          <w:szCs w:val="24"/>
          <w:rtl/>
        </w:rPr>
        <w:t>.</w:t>
      </w:r>
      <w:r w:rsidR="008C3B97" w:rsidRPr="005F3228">
        <w:rPr>
          <w:rFonts w:ascii="David" w:hAnsi="David" w:cs="David"/>
          <w:sz w:val="24"/>
          <w:szCs w:val="24"/>
          <w:rtl/>
        </w:rPr>
        <w:t xml:space="preserve"> עלול</w:t>
      </w:r>
      <w:r w:rsidR="00D058DC" w:rsidRPr="005F3228">
        <w:rPr>
          <w:rFonts w:ascii="David" w:hAnsi="David" w:cs="David"/>
          <w:sz w:val="24"/>
          <w:szCs w:val="24"/>
          <w:rtl/>
        </w:rPr>
        <w:t xml:space="preserve">ה ליצור אפקט </w:t>
      </w:r>
      <w:r w:rsidR="00E53446" w:rsidRPr="005F3228">
        <w:rPr>
          <w:rFonts w:ascii="David" w:hAnsi="David" w:cs="David" w:hint="cs"/>
          <w:sz w:val="24"/>
          <w:szCs w:val="24"/>
          <w:rtl/>
        </w:rPr>
        <w:t>מצנן</w:t>
      </w:r>
      <w:r w:rsidR="008C3B97" w:rsidRPr="005F3228">
        <w:rPr>
          <w:rFonts w:ascii="David" w:hAnsi="David" w:cs="David"/>
          <w:sz w:val="24"/>
          <w:szCs w:val="24"/>
          <w:rtl/>
        </w:rPr>
        <w:t xml:space="preserve"> </w:t>
      </w:r>
      <w:r w:rsidR="00D058DC" w:rsidRPr="005F3228">
        <w:rPr>
          <w:rFonts w:ascii="David" w:hAnsi="David" w:cs="David"/>
          <w:sz w:val="24"/>
          <w:szCs w:val="24"/>
          <w:rtl/>
        </w:rPr>
        <w:t>שי</w:t>
      </w:r>
      <w:r w:rsidR="008C3B97" w:rsidRPr="005F3228">
        <w:rPr>
          <w:rFonts w:ascii="David" w:hAnsi="David" w:cs="David"/>
          <w:sz w:val="24"/>
          <w:szCs w:val="24"/>
          <w:rtl/>
        </w:rPr>
        <w:t xml:space="preserve">ניע </w:t>
      </w:r>
      <w:r w:rsidR="001408DC" w:rsidRPr="005F3228">
        <w:rPr>
          <w:rFonts w:ascii="David" w:hAnsi="David" w:cs="David"/>
          <w:sz w:val="24"/>
          <w:szCs w:val="24"/>
          <w:rtl/>
        </w:rPr>
        <w:t xml:space="preserve">משתמשים </w:t>
      </w:r>
      <w:r w:rsidR="008C3B97" w:rsidRPr="005F3228">
        <w:rPr>
          <w:rFonts w:ascii="David" w:hAnsi="David" w:cs="David"/>
          <w:sz w:val="24"/>
          <w:szCs w:val="24"/>
          <w:rtl/>
        </w:rPr>
        <w:t>"</w:t>
      </w:r>
      <w:r w:rsidR="001408DC" w:rsidRPr="005F3228">
        <w:rPr>
          <w:rFonts w:ascii="David" w:hAnsi="David" w:cs="David"/>
          <w:sz w:val="24"/>
          <w:szCs w:val="24"/>
          <w:rtl/>
        </w:rPr>
        <w:t>להימנע מפעולות נוספות מעבר לשימושים שהמחוקק ביקש לאסור, ואף מעבר לשימושים שבית המשפט מבקש למנוע על-פי דיני עשיית עושר"</w:t>
      </w:r>
      <w:r w:rsidR="008C3B97" w:rsidRPr="005F3228">
        <w:rPr>
          <w:rFonts w:ascii="David" w:hAnsi="David" w:cs="David"/>
          <w:sz w:val="24"/>
          <w:szCs w:val="24"/>
          <w:rtl/>
        </w:rPr>
        <w:t>.</w:t>
      </w:r>
      <w:r w:rsidR="001408DC" w:rsidRPr="005F3228">
        <w:rPr>
          <w:rStyle w:val="FootnoteReference"/>
          <w:rFonts w:ascii="David" w:hAnsi="David" w:cs="David"/>
          <w:sz w:val="24"/>
          <w:szCs w:val="24"/>
          <w:rtl/>
        </w:rPr>
        <w:footnoteReference w:id="42"/>
      </w:r>
      <w:r w:rsidR="001408DC" w:rsidRPr="005F3228">
        <w:rPr>
          <w:rFonts w:ascii="David" w:hAnsi="David" w:cs="David"/>
          <w:sz w:val="24"/>
          <w:szCs w:val="24"/>
          <w:rtl/>
        </w:rPr>
        <w:t xml:space="preserve"> אפקט </w:t>
      </w:r>
      <w:r w:rsidR="00D058DC" w:rsidRPr="005F3228">
        <w:rPr>
          <w:rFonts w:ascii="David" w:hAnsi="David" w:cs="David"/>
          <w:sz w:val="24"/>
          <w:szCs w:val="24"/>
          <w:rtl/>
        </w:rPr>
        <w:t>זה</w:t>
      </w:r>
      <w:r w:rsidR="001408DC" w:rsidRPr="005F3228">
        <w:rPr>
          <w:rFonts w:ascii="David" w:hAnsi="David" w:cs="David"/>
          <w:sz w:val="24"/>
          <w:szCs w:val="24"/>
          <w:rtl/>
        </w:rPr>
        <w:t xml:space="preserve"> עשוי להביא </w:t>
      </w:r>
      <w:r w:rsidR="001775E3" w:rsidRPr="005F3228">
        <w:rPr>
          <w:rFonts w:ascii="David" w:hAnsi="David" w:cs="David" w:hint="cs"/>
          <w:sz w:val="24"/>
          <w:szCs w:val="24"/>
          <w:rtl/>
        </w:rPr>
        <w:t xml:space="preserve">לצמצום נחלת הכלל, </w:t>
      </w:r>
      <w:r w:rsidR="00EA08B8" w:rsidRPr="005F3228">
        <w:rPr>
          <w:rFonts w:ascii="David" w:hAnsi="David" w:cs="David" w:hint="cs"/>
          <w:sz w:val="24"/>
          <w:szCs w:val="24"/>
          <w:rtl/>
        </w:rPr>
        <w:t>ולגרום</w:t>
      </w:r>
      <w:r w:rsidR="001775E3" w:rsidRPr="005F3228">
        <w:rPr>
          <w:rFonts w:ascii="David" w:hAnsi="David" w:cs="David" w:hint="cs"/>
          <w:sz w:val="24"/>
          <w:szCs w:val="24"/>
          <w:rtl/>
        </w:rPr>
        <w:t xml:space="preserve"> </w:t>
      </w:r>
      <w:r w:rsidR="00EA08B8" w:rsidRPr="005F3228">
        <w:rPr>
          <w:rFonts w:ascii="David" w:hAnsi="David" w:cs="David" w:hint="cs"/>
          <w:sz w:val="24"/>
          <w:szCs w:val="24"/>
          <w:rtl/>
        </w:rPr>
        <w:t>ל</w:t>
      </w:r>
      <w:r w:rsidR="001775E3" w:rsidRPr="005F3228">
        <w:rPr>
          <w:rFonts w:ascii="David" w:hAnsi="David" w:cs="David" w:hint="cs"/>
          <w:sz w:val="24"/>
          <w:szCs w:val="24"/>
          <w:rtl/>
        </w:rPr>
        <w:t xml:space="preserve">"שחקנים" רלבנטיים המבקשים </w:t>
      </w:r>
      <w:r w:rsidR="007252F9" w:rsidRPr="005F3228">
        <w:rPr>
          <w:rFonts w:ascii="David" w:hAnsi="David" w:cs="David" w:hint="cs"/>
          <w:sz w:val="24"/>
          <w:szCs w:val="24"/>
          <w:rtl/>
        </w:rPr>
        <w:t>להתחרות בשוק ו</w:t>
      </w:r>
      <w:r w:rsidR="001775E3" w:rsidRPr="005F3228">
        <w:rPr>
          <w:rFonts w:ascii="David" w:hAnsi="David" w:cs="David" w:hint="cs"/>
          <w:sz w:val="24"/>
          <w:szCs w:val="24"/>
          <w:rtl/>
        </w:rPr>
        <w:t>ל</w:t>
      </w:r>
      <w:r w:rsidR="00ED146F" w:rsidRPr="005F3228">
        <w:rPr>
          <w:rFonts w:ascii="David" w:hAnsi="David" w:cs="David" w:hint="cs"/>
          <w:sz w:val="24"/>
          <w:szCs w:val="24"/>
          <w:rtl/>
        </w:rPr>
        <w:t>השתמש בתוצרים קיימים כבסיס לתהליכי יצירה, מחקר ופיתוח עתידיים</w:t>
      </w:r>
      <w:r w:rsidR="001775E3" w:rsidRPr="005F3228">
        <w:rPr>
          <w:rFonts w:ascii="David" w:hAnsi="David" w:cs="David" w:hint="cs"/>
          <w:sz w:val="24"/>
          <w:szCs w:val="24"/>
          <w:rtl/>
        </w:rPr>
        <w:t xml:space="preserve"> </w:t>
      </w:r>
      <w:r w:rsidR="007252F9" w:rsidRPr="005F3228">
        <w:rPr>
          <w:rFonts w:ascii="David" w:hAnsi="David" w:cs="David" w:hint="cs"/>
          <w:sz w:val="24"/>
          <w:szCs w:val="24"/>
          <w:rtl/>
        </w:rPr>
        <w:t>ל</w:t>
      </w:r>
      <w:r w:rsidR="00EA08B8" w:rsidRPr="005F3228">
        <w:rPr>
          <w:rFonts w:ascii="David" w:hAnsi="David" w:cs="David" w:hint="cs"/>
          <w:sz w:val="24"/>
          <w:szCs w:val="24"/>
          <w:rtl/>
        </w:rPr>
        <w:t xml:space="preserve">הימנע מכך, </w:t>
      </w:r>
      <w:r w:rsidR="001408DC" w:rsidRPr="005F3228">
        <w:rPr>
          <w:rFonts w:ascii="David" w:hAnsi="David" w:cs="David"/>
          <w:sz w:val="24"/>
          <w:szCs w:val="24"/>
          <w:rtl/>
        </w:rPr>
        <w:t>על-מנת לצמצם את חשיפתם האפשרית לתביעות משפטיות</w:t>
      </w:r>
      <w:r w:rsidR="008C3B97" w:rsidRPr="005F3228">
        <w:rPr>
          <w:rFonts w:ascii="David" w:hAnsi="David" w:cs="David"/>
          <w:sz w:val="24"/>
          <w:szCs w:val="24"/>
          <w:rtl/>
        </w:rPr>
        <w:t>.</w:t>
      </w:r>
      <w:bookmarkStart w:id="26" w:name="_Ref28466108"/>
      <w:r w:rsidR="001408DC" w:rsidRPr="005F3228">
        <w:rPr>
          <w:rStyle w:val="FootnoteReference"/>
          <w:rFonts w:ascii="David" w:hAnsi="David" w:cs="David"/>
          <w:sz w:val="24"/>
          <w:szCs w:val="24"/>
          <w:rtl/>
        </w:rPr>
        <w:footnoteReference w:id="43"/>
      </w:r>
      <w:bookmarkEnd w:id="26"/>
      <w:r w:rsidR="001408DC" w:rsidRPr="005F3228">
        <w:rPr>
          <w:rFonts w:ascii="David" w:hAnsi="David" w:cs="David"/>
          <w:sz w:val="24"/>
          <w:szCs w:val="24"/>
          <w:rtl/>
        </w:rPr>
        <w:t xml:space="preserve"> </w:t>
      </w:r>
      <w:r w:rsidR="00D058DC" w:rsidRPr="005F3228">
        <w:rPr>
          <w:rFonts w:ascii="David" w:hAnsi="David" w:cs="David"/>
          <w:sz w:val="24"/>
          <w:szCs w:val="24"/>
          <w:rtl/>
        </w:rPr>
        <w:t xml:space="preserve">לגישת המבקרים, </w:t>
      </w:r>
      <w:r w:rsidR="001408DC" w:rsidRPr="005F3228">
        <w:rPr>
          <w:rFonts w:ascii="David" w:hAnsi="David" w:cs="David"/>
          <w:sz w:val="24"/>
          <w:szCs w:val="24"/>
          <w:rtl/>
        </w:rPr>
        <w:t>אפקט ה</w:t>
      </w:r>
      <w:r w:rsidR="00E53446" w:rsidRPr="005F3228">
        <w:rPr>
          <w:rFonts w:ascii="David" w:hAnsi="David" w:cs="David" w:hint="cs"/>
          <w:sz w:val="24"/>
          <w:szCs w:val="24"/>
          <w:rtl/>
        </w:rPr>
        <w:t>צינון</w:t>
      </w:r>
      <w:r w:rsidR="001408DC" w:rsidRPr="005F3228">
        <w:rPr>
          <w:rFonts w:ascii="David" w:hAnsi="David" w:cs="David"/>
          <w:sz w:val="24"/>
          <w:szCs w:val="24"/>
          <w:rtl/>
        </w:rPr>
        <w:t xml:space="preserve"> גדול במיוחד נוכח חוסר-הוודאות הכרוך בהפעלת הסטנדרטים הניצבים בבסיס עיל</w:t>
      </w:r>
      <w:r w:rsidR="006A2EBE" w:rsidRPr="005F3228">
        <w:rPr>
          <w:rFonts w:ascii="David" w:hAnsi="David" w:cs="David"/>
          <w:sz w:val="24"/>
          <w:szCs w:val="24"/>
          <w:rtl/>
        </w:rPr>
        <w:t>ת</w:t>
      </w:r>
      <w:r w:rsidR="001408DC" w:rsidRPr="005F3228">
        <w:rPr>
          <w:rFonts w:ascii="David" w:hAnsi="David" w:cs="David"/>
          <w:sz w:val="24"/>
          <w:szCs w:val="24"/>
          <w:rtl/>
        </w:rPr>
        <w:t xml:space="preserve"> עשיית </w:t>
      </w:r>
      <w:r w:rsidR="006A2EBE" w:rsidRPr="005F3228">
        <w:rPr>
          <w:rFonts w:ascii="David" w:hAnsi="David" w:cs="David"/>
          <w:sz w:val="24"/>
          <w:szCs w:val="24"/>
          <w:rtl/>
        </w:rPr>
        <w:t>ה</w:t>
      </w:r>
      <w:r w:rsidR="001408DC" w:rsidRPr="005F3228">
        <w:rPr>
          <w:rFonts w:ascii="David" w:hAnsi="David" w:cs="David"/>
          <w:sz w:val="24"/>
          <w:szCs w:val="24"/>
          <w:rtl/>
        </w:rPr>
        <w:t>עושר</w:t>
      </w:r>
      <w:r w:rsidR="00D3394D" w:rsidRPr="005F3228">
        <w:rPr>
          <w:rFonts w:ascii="David" w:hAnsi="David" w:cs="David" w:hint="cs"/>
          <w:sz w:val="24"/>
          <w:szCs w:val="24"/>
          <w:rtl/>
        </w:rPr>
        <w:t>.</w:t>
      </w:r>
      <w:bookmarkStart w:id="27" w:name="_Ref39091807"/>
      <w:r w:rsidR="001408DC" w:rsidRPr="005F3228">
        <w:rPr>
          <w:rStyle w:val="FootnoteReference"/>
          <w:rFonts w:ascii="David" w:hAnsi="David" w:cs="David"/>
          <w:sz w:val="24"/>
          <w:szCs w:val="24"/>
          <w:rtl/>
        </w:rPr>
        <w:footnoteReference w:id="44"/>
      </w:r>
      <w:bookmarkEnd w:id="27"/>
      <w:r w:rsidR="001408DC" w:rsidRPr="005F3228">
        <w:rPr>
          <w:rFonts w:ascii="David" w:hAnsi="David" w:cs="David"/>
          <w:sz w:val="24"/>
          <w:szCs w:val="24"/>
          <w:rtl/>
        </w:rPr>
        <w:t xml:space="preserve"> </w:t>
      </w:r>
      <w:r w:rsidR="00D058DC" w:rsidRPr="005F3228">
        <w:rPr>
          <w:rFonts w:ascii="David" w:hAnsi="David" w:cs="David"/>
          <w:sz w:val="24"/>
          <w:szCs w:val="24"/>
          <w:rtl/>
        </w:rPr>
        <w:t>במידה רבה,</w:t>
      </w:r>
      <w:r w:rsidR="001408DC" w:rsidRPr="005F3228">
        <w:rPr>
          <w:rFonts w:ascii="David" w:hAnsi="David" w:cs="David"/>
          <w:sz w:val="24"/>
          <w:szCs w:val="24"/>
          <w:rtl/>
        </w:rPr>
        <w:t xml:space="preserve"> דווקא אותם מאפיינים של </w:t>
      </w:r>
      <w:r w:rsidR="006A2EBE" w:rsidRPr="005F3228">
        <w:rPr>
          <w:rFonts w:ascii="David" w:hAnsi="David" w:cs="David"/>
          <w:sz w:val="24"/>
          <w:szCs w:val="24"/>
          <w:rtl/>
        </w:rPr>
        <w:t>עילה זו</w:t>
      </w:r>
      <w:r w:rsidR="001408DC" w:rsidRPr="005F3228">
        <w:rPr>
          <w:rFonts w:ascii="David" w:hAnsi="David" w:cs="David"/>
          <w:sz w:val="24"/>
          <w:szCs w:val="24"/>
          <w:rtl/>
        </w:rPr>
        <w:t xml:space="preserve"> </w:t>
      </w:r>
      <w:r w:rsidR="006A2EBE" w:rsidRPr="005F3228">
        <w:rPr>
          <w:rFonts w:ascii="David" w:hAnsi="David" w:cs="David"/>
          <w:sz w:val="24"/>
          <w:szCs w:val="24"/>
          <w:rtl/>
        </w:rPr>
        <w:t>ש</w:t>
      </w:r>
      <w:r w:rsidR="001408DC" w:rsidRPr="005F3228">
        <w:rPr>
          <w:rFonts w:ascii="David" w:hAnsi="David" w:cs="David"/>
          <w:sz w:val="24"/>
          <w:szCs w:val="24"/>
          <w:rtl/>
        </w:rPr>
        <w:t xml:space="preserve">שופטי הרוב </w:t>
      </w:r>
      <w:r w:rsidR="006A2EBE" w:rsidRPr="005F3228">
        <w:rPr>
          <w:rFonts w:ascii="David" w:hAnsi="David" w:cs="David"/>
          <w:sz w:val="24"/>
          <w:szCs w:val="24"/>
          <w:rtl/>
        </w:rPr>
        <w:t xml:space="preserve">מגייסים </w:t>
      </w:r>
      <w:r w:rsidR="001408DC" w:rsidRPr="005F3228">
        <w:rPr>
          <w:rFonts w:ascii="David" w:hAnsi="David" w:cs="David"/>
          <w:sz w:val="24"/>
          <w:szCs w:val="24"/>
          <w:rtl/>
        </w:rPr>
        <w:t>לצורך ביסוס ההבחנה בי</w:t>
      </w:r>
      <w:r w:rsidR="006A2EBE" w:rsidRPr="005F3228">
        <w:rPr>
          <w:rFonts w:ascii="David" w:hAnsi="David" w:cs="David"/>
          <w:sz w:val="24"/>
          <w:szCs w:val="24"/>
          <w:rtl/>
        </w:rPr>
        <w:t xml:space="preserve">נה </w:t>
      </w:r>
      <w:r w:rsidR="001408DC" w:rsidRPr="005F3228">
        <w:rPr>
          <w:rFonts w:ascii="David" w:hAnsi="David" w:cs="David"/>
          <w:sz w:val="24"/>
          <w:szCs w:val="24"/>
          <w:rtl/>
        </w:rPr>
        <w:t>לבין העילה מכוח דיני הקניין הרוחני הממוסדים</w:t>
      </w:r>
      <w:r w:rsidR="00E81276" w:rsidRPr="005F3228">
        <w:rPr>
          <w:rFonts w:ascii="David" w:hAnsi="David" w:cs="David"/>
          <w:sz w:val="24"/>
          <w:szCs w:val="24"/>
          <w:rtl/>
        </w:rPr>
        <w:t>—</w:t>
      </w:r>
      <w:r w:rsidR="001408DC" w:rsidRPr="005F3228">
        <w:rPr>
          <w:rFonts w:ascii="David" w:hAnsi="David" w:cs="David"/>
          <w:sz w:val="24"/>
          <w:szCs w:val="24"/>
          <w:rtl/>
        </w:rPr>
        <w:t>"רכותה" של העילה וחוסר הוודאות המאפיין אותה</w:t>
      </w:r>
      <w:r w:rsidR="00E81276" w:rsidRPr="005F3228">
        <w:rPr>
          <w:rFonts w:ascii="David" w:hAnsi="David" w:cs="David"/>
          <w:sz w:val="24"/>
          <w:szCs w:val="24"/>
          <w:rtl/>
        </w:rPr>
        <w:t>—</w:t>
      </w:r>
      <w:r w:rsidR="001408DC" w:rsidRPr="005F3228">
        <w:rPr>
          <w:rFonts w:ascii="David" w:hAnsi="David" w:cs="David"/>
          <w:sz w:val="24"/>
          <w:szCs w:val="24"/>
          <w:rtl/>
        </w:rPr>
        <w:t xml:space="preserve">הם אלה שמגבירים את </w:t>
      </w:r>
      <w:r w:rsidR="00BD0B7D" w:rsidRPr="005F3228">
        <w:rPr>
          <w:rFonts w:ascii="David" w:hAnsi="David" w:cs="David" w:hint="cs"/>
          <w:sz w:val="24"/>
          <w:szCs w:val="24"/>
          <w:rtl/>
        </w:rPr>
        <w:t>חשש הצינון</w:t>
      </w:r>
      <w:r w:rsidR="001408DC" w:rsidRPr="005F3228">
        <w:rPr>
          <w:rFonts w:ascii="David" w:hAnsi="David" w:cs="David"/>
          <w:sz w:val="24"/>
          <w:szCs w:val="24"/>
          <w:rtl/>
        </w:rPr>
        <w:t>.</w:t>
      </w:r>
      <w:r w:rsidR="00D058DC" w:rsidRPr="005F3228">
        <w:rPr>
          <w:rStyle w:val="FootnoteReference"/>
          <w:rFonts w:ascii="David" w:hAnsi="David" w:cs="David"/>
          <w:sz w:val="24"/>
          <w:szCs w:val="24"/>
          <w:rtl/>
        </w:rPr>
        <w:footnoteReference w:id="45"/>
      </w:r>
      <w:r w:rsidR="001408DC" w:rsidRPr="005F3228">
        <w:rPr>
          <w:rFonts w:ascii="David" w:hAnsi="David" w:cs="David"/>
          <w:sz w:val="24"/>
          <w:szCs w:val="24"/>
          <w:rtl/>
        </w:rPr>
        <w:t xml:space="preserve"> </w:t>
      </w:r>
    </w:p>
    <w:p w14:paraId="0D162420" w14:textId="77777777" w:rsidR="001408DC" w:rsidRPr="005F3228" w:rsidRDefault="003101AA" w:rsidP="00476598">
      <w:pPr>
        <w:spacing w:line="300" w:lineRule="exact"/>
        <w:jc w:val="both"/>
        <w:rPr>
          <w:rFonts w:ascii="David" w:hAnsi="David" w:cs="David"/>
          <w:sz w:val="24"/>
          <w:szCs w:val="24"/>
          <w:rtl/>
        </w:rPr>
      </w:pPr>
      <w:r w:rsidRPr="005F3228">
        <w:rPr>
          <w:rFonts w:ascii="David" w:hAnsi="David" w:cs="David"/>
          <w:sz w:val="24"/>
          <w:szCs w:val="24"/>
          <w:rtl/>
        </w:rPr>
        <w:t>טיעון ביקורת אחר התמקד ב</w:t>
      </w:r>
      <w:r w:rsidR="001408DC" w:rsidRPr="005F3228">
        <w:rPr>
          <w:rFonts w:ascii="David" w:hAnsi="David" w:cs="David"/>
          <w:sz w:val="24"/>
          <w:szCs w:val="24"/>
          <w:rtl/>
        </w:rPr>
        <w:t xml:space="preserve">"סוגיה המוסדית", </w:t>
      </w:r>
      <w:r w:rsidR="004E6F7E" w:rsidRPr="005F3228">
        <w:rPr>
          <w:rFonts w:ascii="David" w:hAnsi="David" w:cs="David"/>
          <w:sz w:val="24"/>
          <w:szCs w:val="24"/>
          <w:rtl/>
        </w:rPr>
        <w:t xml:space="preserve">ולפיו—כאשר הפסיקה מפתחת את הדין, עליה להיצמד </w:t>
      </w:r>
      <w:r w:rsidR="001408DC" w:rsidRPr="005F3228">
        <w:rPr>
          <w:rFonts w:ascii="David" w:hAnsi="David" w:cs="David"/>
          <w:sz w:val="24"/>
          <w:szCs w:val="24"/>
          <w:rtl/>
        </w:rPr>
        <w:t>לחקיקת הקניין הרוחני</w:t>
      </w:r>
      <w:r w:rsidR="004E6F7E" w:rsidRPr="005F3228">
        <w:rPr>
          <w:rFonts w:ascii="David" w:hAnsi="David" w:cs="David"/>
          <w:sz w:val="24"/>
          <w:szCs w:val="24"/>
          <w:rtl/>
        </w:rPr>
        <w:t xml:space="preserve">, על-מנת להבטיח </w:t>
      </w:r>
      <w:r w:rsidR="001408DC" w:rsidRPr="005F3228">
        <w:rPr>
          <w:rFonts w:ascii="David" w:hAnsi="David" w:cs="David"/>
          <w:sz w:val="24"/>
          <w:szCs w:val="24"/>
          <w:rtl/>
        </w:rPr>
        <w:t>כי האיזונים הבסיסיים המגולמים בחקיקה זו לא ייפגעו</w:t>
      </w:r>
      <w:r w:rsidR="00A50D6D" w:rsidRPr="005F3228">
        <w:rPr>
          <w:rFonts w:ascii="David" w:hAnsi="David" w:cs="David"/>
          <w:sz w:val="24"/>
          <w:szCs w:val="24"/>
          <w:rtl/>
        </w:rPr>
        <w:t xml:space="preserve"> ולשמר את הודאות משפטית בתחום</w:t>
      </w:r>
      <w:r w:rsidR="004E6F7E" w:rsidRPr="005F3228">
        <w:rPr>
          <w:rFonts w:ascii="David" w:hAnsi="David" w:cs="David"/>
          <w:sz w:val="24"/>
          <w:szCs w:val="24"/>
          <w:rtl/>
        </w:rPr>
        <w:t xml:space="preserve">; </w:t>
      </w:r>
      <w:r w:rsidR="00A50D6D" w:rsidRPr="005F3228">
        <w:rPr>
          <w:rFonts w:ascii="David" w:hAnsi="David" w:cs="David"/>
          <w:sz w:val="24"/>
          <w:szCs w:val="24"/>
          <w:rtl/>
        </w:rPr>
        <w:t xml:space="preserve">כאשר </w:t>
      </w:r>
      <w:r w:rsidR="004E6F7E" w:rsidRPr="005F3228">
        <w:rPr>
          <w:rFonts w:ascii="David" w:hAnsi="David" w:cs="David"/>
          <w:sz w:val="24"/>
          <w:szCs w:val="24"/>
          <w:rtl/>
        </w:rPr>
        <w:t>בהקשרים</w:t>
      </w:r>
      <w:r w:rsidR="001408DC" w:rsidRPr="005F3228">
        <w:rPr>
          <w:rFonts w:ascii="David" w:hAnsi="David" w:cs="David"/>
          <w:sz w:val="24"/>
          <w:szCs w:val="24"/>
          <w:rtl/>
        </w:rPr>
        <w:t xml:space="preserve"> בהם נראה כי ההסדר הקבוע בחוק איננו תואם את דרישות </w:t>
      </w:r>
      <w:r w:rsidR="004E6F7E" w:rsidRPr="005F3228">
        <w:rPr>
          <w:rFonts w:ascii="David" w:hAnsi="David" w:cs="David"/>
          <w:sz w:val="24"/>
          <w:szCs w:val="24"/>
          <w:rtl/>
        </w:rPr>
        <w:t>המציאות</w:t>
      </w:r>
      <w:r w:rsidR="001408DC" w:rsidRPr="005F3228">
        <w:rPr>
          <w:rFonts w:ascii="David" w:hAnsi="David" w:cs="David"/>
          <w:sz w:val="24"/>
          <w:szCs w:val="24"/>
          <w:rtl/>
        </w:rPr>
        <w:t xml:space="preserve"> ולא ניתן להתאימו באמצעות פרשנות, </w:t>
      </w:r>
      <w:r w:rsidR="004E6F7E" w:rsidRPr="005F3228">
        <w:rPr>
          <w:rFonts w:ascii="David" w:hAnsi="David" w:cs="David"/>
          <w:sz w:val="24"/>
          <w:szCs w:val="24"/>
          <w:rtl/>
        </w:rPr>
        <w:t xml:space="preserve">על בתי המשפט </w:t>
      </w:r>
      <w:r w:rsidR="00F43A20" w:rsidRPr="005F3228">
        <w:rPr>
          <w:rFonts w:ascii="David" w:hAnsi="David" w:cs="David" w:hint="cs"/>
          <w:sz w:val="24"/>
          <w:szCs w:val="24"/>
          <w:rtl/>
        </w:rPr>
        <w:t xml:space="preserve">להפנות את </w:t>
      </w:r>
      <w:proofErr w:type="spellStart"/>
      <w:r w:rsidR="00F43A20" w:rsidRPr="005F3228">
        <w:rPr>
          <w:rFonts w:ascii="David" w:hAnsi="David" w:cs="David" w:hint="cs"/>
          <w:sz w:val="24"/>
          <w:szCs w:val="24"/>
          <w:rtl/>
        </w:rPr>
        <w:t>הסוגיה</w:t>
      </w:r>
      <w:proofErr w:type="spellEnd"/>
      <w:r w:rsidR="00F43A20" w:rsidRPr="005F3228">
        <w:rPr>
          <w:rFonts w:ascii="David" w:hAnsi="David" w:cs="David" w:hint="cs"/>
          <w:sz w:val="24"/>
          <w:szCs w:val="24"/>
          <w:rtl/>
        </w:rPr>
        <w:t xml:space="preserve"> ל</w:t>
      </w:r>
      <w:r w:rsidR="001408DC" w:rsidRPr="005F3228">
        <w:rPr>
          <w:rFonts w:ascii="David" w:hAnsi="David" w:cs="David"/>
          <w:sz w:val="24"/>
          <w:szCs w:val="24"/>
          <w:rtl/>
        </w:rPr>
        <w:t>בית המחוקקים</w:t>
      </w:r>
      <w:r w:rsidR="00F43A20" w:rsidRPr="005F3228">
        <w:rPr>
          <w:rFonts w:ascii="David" w:hAnsi="David" w:cs="David" w:hint="cs"/>
          <w:sz w:val="24"/>
          <w:szCs w:val="24"/>
          <w:rtl/>
        </w:rPr>
        <w:t>, כדי שיעשה</w:t>
      </w:r>
      <w:r w:rsidR="004E6F7E" w:rsidRPr="005F3228">
        <w:rPr>
          <w:rFonts w:ascii="David" w:hAnsi="David" w:cs="David"/>
          <w:sz w:val="24"/>
          <w:szCs w:val="24"/>
          <w:rtl/>
        </w:rPr>
        <w:t xml:space="preserve"> לפתרון העניין</w:t>
      </w:r>
      <w:r w:rsidR="00A50D6D" w:rsidRPr="005F3228">
        <w:rPr>
          <w:rFonts w:ascii="David" w:hAnsi="David" w:cs="David"/>
          <w:sz w:val="24"/>
          <w:szCs w:val="24"/>
          <w:rtl/>
        </w:rPr>
        <w:t xml:space="preserve"> באופן מקיף וכוללני יותר </w:t>
      </w:r>
      <w:r w:rsidR="005E31C6" w:rsidRPr="005F3228">
        <w:rPr>
          <w:rFonts w:ascii="David" w:hAnsi="David" w:cs="David" w:hint="cs"/>
          <w:sz w:val="24"/>
          <w:szCs w:val="24"/>
          <w:rtl/>
        </w:rPr>
        <w:t>שי</w:t>
      </w:r>
      <w:r w:rsidR="00A50D6D" w:rsidRPr="005F3228">
        <w:rPr>
          <w:rFonts w:ascii="David" w:hAnsi="David" w:cs="David"/>
          <w:sz w:val="24"/>
          <w:szCs w:val="24"/>
          <w:rtl/>
        </w:rPr>
        <w:t>תבסס על מחקר מקדים כנדרש.</w:t>
      </w:r>
      <w:r w:rsidR="004E6F7E" w:rsidRPr="005F3228">
        <w:rPr>
          <w:rStyle w:val="FootnoteReference"/>
          <w:rFonts w:ascii="David" w:hAnsi="David" w:cs="David"/>
          <w:sz w:val="24"/>
          <w:szCs w:val="24"/>
          <w:rtl/>
        </w:rPr>
        <w:footnoteReference w:id="46"/>
      </w:r>
      <w:r w:rsidR="001408DC" w:rsidRPr="005F3228">
        <w:rPr>
          <w:rFonts w:ascii="David" w:hAnsi="David" w:cs="David"/>
          <w:sz w:val="24"/>
          <w:szCs w:val="24"/>
          <w:rtl/>
        </w:rPr>
        <w:t xml:space="preserve"> </w:t>
      </w:r>
      <w:r w:rsidR="004E6F7E" w:rsidRPr="005F3228">
        <w:rPr>
          <w:rFonts w:ascii="David" w:hAnsi="David" w:cs="David"/>
          <w:sz w:val="24"/>
          <w:szCs w:val="24"/>
          <w:rtl/>
        </w:rPr>
        <w:t xml:space="preserve"> </w:t>
      </w:r>
    </w:p>
    <w:p w14:paraId="2574A922" w14:textId="77777777" w:rsidR="00F25DF2" w:rsidRPr="005F3228" w:rsidRDefault="00F16BDD" w:rsidP="004E6749">
      <w:pPr>
        <w:spacing w:line="300" w:lineRule="exact"/>
        <w:jc w:val="both"/>
        <w:rPr>
          <w:rFonts w:ascii="David" w:hAnsi="David" w:cs="David"/>
          <w:sz w:val="24"/>
          <w:szCs w:val="24"/>
          <w:rtl/>
        </w:rPr>
      </w:pPr>
      <w:r w:rsidRPr="005F3228">
        <w:rPr>
          <w:rFonts w:ascii="David" w:hAnsi="David" w:cs="David"/>
          <w:sz w:val="24"/>
          <w:szCs w:val="24"/>
          <w:rtl/>
        </w:rPr>
        <w:t xml:space="preserve">ההתנגדות להלכת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Pr="005F3228">
        <w:rPr>
          <w:rFonts w:ascii="David" w:hAnsi="David" w:cs="David"/>
          <w:sz w:val="24"/>
          <w:szCs w:val="24"/>
          <w:rtl/>
        </w:rPr>
        <w:t xml:space="preserve"> חרגה מגבולות האקדמיה והשפיעה גם על קובעי מדיניות. כך, ב-2011, הוגשה הצעת חוק ממשלתית לתיקון חוק הפטנטים, בה נכלל סעיף של "ייחוד עילה", לפיו</w:t>
      </w:r>
      <w:r w:rsidR="00F25DF2" w:rsidRPr="005F3228">
        <w:rPr>
          <w:rFonts w:ascii="David" w:hAnsi="David" w:cs="David"/>
          <w:sz w:val="24"/>
          <w:szCs w:val="24"/>
          <w:rtl/>
        </w:rPr>
        <w:t>:</w:t>
      </w:r>
    </w:p>
    <w:p w14:paraId="07893819" w14:textId="77777777" w:rsidR="00F16BDD" w:rsidRPr="005F3228" w:rsidRDefault="00F25DF2" w:rsidP="0015513D">
      <w:pPr>
        <w:pStyle w:val="Quote"/>
        <w:spacing w:line="300" w:lineRule="exact"/>
        <w:jc w:val="both"/>
        <w:rPr>
          <w:rFonts w:ascii="David" w:hAnsi="David" w:cs="David"/>
          <w:sz w:val="24"/>
          <w:szCs w:val="24"/>
          <w:rtl/>
        </w:rPr>
      </w:pPr>
      <w:r w:rsidRPr="005F3228">
        <w:rPr>
          <w:rFonts w:ascii="David" w:hAnsi="David" w:cs="David"/>
          <w:sz w:val="24"/>
          <w:szCs w:val="24"/>
          <w:rtl/>
        </w:rPr>
        <w:t>"לא יזדקק בית המשפט לתביעה, תהא עילתה אשר תהא, המבוססת על אחד מאלה: (1)</w:t>
      </w:r>
      <w:r w:rsidR="00F16BDD" w:rsidRPr="005F3228">
        <w:rPr>
          <w:rFonts w:ascii="David" w:hAnsi="David" w:cs="David"/>
          <w:sz w:val="24"/>
          <w:szCs w:val="24"/>
          <w:rtl/>
        </w:rPr>
        <w:t xml:space="preserve"> </w:t>
      </w:r>
      <w:r w:rsidRPr="005F3228">
        <w:rPr>
          <w:rFonts w:ascii="David" w:hAnsi="David" w:cs="David"/>
          <w:sz w:val="24"/>
          <w:szCs w:val="24"/>
          <w:rtl/>
        </w:rPr>
        <w:t>ניצול אמצאה כשירת פטנט שאינה נושא לפטנט הרשום בישראל; (2) ניצול אמצאה שהיא נושא לפטנט רשום בישראל, כאשר הניצול נעשה לאחר שתוקפו פג מכל סיבה שהיא ...; (3) ניצול אמצאה שאינה כשירת פטנט."</w:t>
      </w:r>
      <w:bookmarkStart w:id="28" w:name="_Ref27910706"/>
      <w:r w:rsidRPr="005F3228">
        <w:rPr>
          <w:rStyle w:val="FootnoteReference"/>
          <w:rFonts w:ascii="David" w:hAnsi="David" w:cs="David"/>
          <w:sz w:val="24"/>
          <w:szCs w:val="24"/>
          <w:rtl/>
        </w:rPr>
        <w:footnoteReference w:id="47"/>
      </w:r>
      <w:bookmarkEnd w:id="28"/>
    </w:p>
    <w:p w14:paraId="3639DA25" w14:textId="77777777" w:rsidR="001408DC" w:rsidRPr="005F3228" w:rsidRDefault="004E6749" w:rsidP="00476598">
      <w:pPr>
        <w:spacing w:line="300" w:lineRule="exact"/>
        <w:jc w:val="both"/>
        <w:rPr>
          <w:rFonts w:ascii="David" w:hAnsi="David" w:cs="David"/>
          <w:sz w:val="24"/>
          <w:szCs w:val="24"/>
          <w:rtl/>
        </w:rPr>
      </w:pPr>
      <w:r w:rsidRPr="005F3228">
        <w:rPr>
          <w:rFonts w:ascii="David" w:hAnsi="David" w:cs="David"/>
          <w:sz w:val="24"/>
          <w:szCs w:val="24"/>
          <w:rtl/>
        </w:rPr>
        <w:t>ב</w:t>
      </w:r>
      <w:r w:rsidR="00C226C7" w:rsidRPr="005F3228">
        <w:rPr>
          <w:rFonts w:ascii="David" w:hAnsi="David" w:cs="David" w:hint="cs"/>
          <w:sz w:val="24"/>
          <w:szCs w:val="24"/>
          <w:rtl/>
        </w:rPr>
        <w:t xml:space="preserve">תזכיר </w:t>
      </w:r>
      <w:r w:rsidRPr="005F3228">
        <w:rPr>
          <w:rFonts w:ascii="David" w:hAnsi="David" w:cs="David"/>
          <w:sz w:val="24"/>
          <w:szCs w:val="24"/>
          <w:rtl/>
        </w:rPr>
        <w:t xml:space="preserve">הצעת החוק </w:t>
      </w:r>
      <w:r w:rsidR="00C226C7" w:rsidRPr="005F3228">
        <w:rPr>
          <w:rFonts w:ascii="David" w:hAnsi="David" w:cs="David"/>
          <w:sz w:val="24"/>
          <w:szCs w:val="24"/>
          <w:rtl/>
        </w:rPr>
        <w:t>שפורס</w:t>
      </w:r>
      <w:r w:rsidR="00C226C7" w:rsidRPr="005F3228">
        <w:rPr>
          <w:rFonts w:ascii="David" w:hAnsi="David" w:cs="David" w:hint="cs"/>
          <w:sz w:val="24"/>
          <w:szCs w:val="24"/>
          <w:rtl/>
        </w:rPr>
        <w:t xml:space="preserve">ם </w:t>
      </w:r>
      <w:r w:rsidRPr="005F3228">
        <w:rPr>
          <w:rFonts w:ascii="David" w:hAnsi="David" w:cs="David"/>
          <w:sz w:val="24"/>
          <w:szCs w:val="24"/>
          <w:rtl/>
        </w:rPr>
        <w:t xml:space="preserve">על-ידי משרד המשפטים הוסבר כי </w:t>
      </w:r>
      <w:r w:rsidR="00CE01C6" w:rsidRPr="005F3228">
        <w:rPr>
          <w:rFonts w:ascii="David" w:hAnsi="David" w:cs="David" w:hint="cs"/>
          <w:sz w:val="24"/>
          <w:szCs w:val="24"/>
          <w:rtl/>
        </w:rPr>
        <w:t>ה</w:t>
      </w:r>
      <w:r w:rsidR="00876745" w:rsidRPr="005F3228">
        <w:rPr>
          <w:rFonts w:ascii="David" w:hAnsi="David" w:cs="David"/>
          <w:sz w:val="24"/>
          <w:szCs w:val="24"/>
          <w:rtl/>
        </w:rPr>
        <w:t xml:space="preserve">תיקון </w:t>
      </w:r>
      <w:r w:rsidRPr="005F3228">
        <w:rPr>
          <w:rFonts w:ascii="David" w:hAnsi="David" w:cs="David" w:hint="cs"/>
          <w:sz w:val="24"/>
          <w:szCs w:val="24"/>
          <w:rtl/>
        </w:rPr>
        <w:t>מתבקש</w:t>
      </w:r>
      <w:r w:rsidR="00876745" w:rsidRPr="005F3228">
        <w:rPr>
          <w:rFonts w:ascii="David" w:hAnsi="David" w:cs="David"/>
          <w:sz w:val="24"/>
          <w:szCs w:val="24"/>
          <w:rtl/>
        </w:rPr>
        <w:t xml:space="preserve"> </w:t>
      </w:r>
      <w:r w:rsidR="003F15AF" w:rsidRPr="005F3228">
        <w:rPr>
          <w:rFonts w:ascii="David" w:hAnsi="David" w:cs="David"/>
          <w:sz w:val="24"/>
          <w:szCs w:val="24"/>
          <w:rtl/>
        </w:rPr>
        <w:t>על</w:t>
      </w:r>
      <w:r w:rsidR="001201F5" w:rsidRPr="005F3228">
        <w:rPr>
          <w:rFonts w:ascii="David" w:hAnsi="David" w:cs="David" w:hint="cs"/>
          <w:sz w:val="24"/>
          <w:szCs w:val="24"/>
          <w:rtl/>
        </w:rPr>
        <w:t xml:space="preserve"> </w:t>
      </w:r>
      <w:r w:rsidRPr="005F3228">
        <w:rPr>
          <w:rFonts w:ascii="David" w:hAnsi="David" w:cs="David" w:hint="cs"/>
          <w:sz w:val="24"/>
          <w:szCs w:val="24"/>
          <w:rtl/>
        </w:rPr>
        <w:t>רקע</w:t>
      </w:r>
      <w:r w:rsidR="003F15AF" w:rsidRPr="005F3228">
        <w:rPr>
          <w:rFonts w:ascii="David" w:hAnsi="David" w:cs="David"/>
          <w:sz w:val="24"/>
          <w:szCs w:val="24"/>
          <w:rtl/>
        </w:rPr>
        <w:t xml:space="preserve"> חוסר הוודאות שיצר פסק</w:t>
      </w:r>
      <w:r w:rsidR="0045173F" w:rsidRPr="005F3228">
        <w:rPr>
          <w:rFonts w:ascii="David" w:hAnsi="David" w:cs="David"/>
          <w:sz w:val="24"/>
          <w:szCs w:val="24"/>
          <w:rtl/>
        </w:rPr>
        <w:t xml:space="preserve"> </w:t>
      </w:r>
      <w:r w:rsidR="003F15AF" w:rsidRPr="005F3228">
        <w:rPr>
          <w:rFonts w:ascii="David" w:hAnsi="David" w:cs="David"/>
          <w:sz w:val="24"/>
          <w:szCs w:val="24"/>
          <w:rtl/>
        </w:rPr>
        <w:t xml:space="preserve">הדין </w:t>
      </w:r>
      <w:r w:rsidR="00C226C7" w:rsidRPr="005F3228">
        <w:rPr>
          <w:rFonts w:ascii="David" w:hAnsi="David" w:cs="David" w:hint="cs"/>
          <w:sz w:val="24"/>
          <w:szCs w:val="24"/>
          <w:rtl/>
        </w:rPr>
        <w:t xml:space="preserve">בעניין </w:t>
      </w:r>
      <w:proofErr w:type="spellStart"/>
      <w:r w:rsidR="00C226C7" w:rsidRPr="005F3228">
        <w:rPr>
          <w:rFonts w:ascii="David" w:hAnsi="David" w:cs="David" w:hint="cs"/>
          <w:sz w:val="24"/>
          <w:szCs w:val="24"/>
          <w:rtl/>
        </w:rPr>
        <w:t>א.ש.י.ר</w:t>
      </w:r>
      <w:proofErr w:type="spellEnd"/>
      <w:r w:rsidR="00C226C7" w:rsidRPr="005F3228">
        <w:rPr>
          <w:rFonts w:ascii="David" w:hAnsi="David" w:cs="David" w:hint="cs"/>
          <w:sz w:val="24"/>
          <w:szCs w:val="24"/>
          <w:rtl/>
        </w:rPr>
        <w:t xml:space="preserve">., </w:t>
      </w:r>
      <w:r w:rsidR="003F15AF" w:rsidRPr="005F3228">
        <w:rPr>
          <w:rFonts w:ascii="David" w:hAnsi="David" w:cs="David"/>
          <w:sz w:val="24"/>
          <w:szCs w:val="24"/>
          <w:rtl/>
        </w:rPr>
        <w:t xml:space="preserve">אשר "נוגד את העקרונות והאיזונים בין נחלת הכלל לבין נחלת הפרט המגולמים בדיני הקניין הרוחני ואף את עקרונות חוק הפטנטים, ומביא למעשה </w:t>
      </w:r>
      <w:r w:rsidR="003F15AF" w:rsidRPr="005F3228">
        <w:rPr>
          <w:rFonts w:ascii="David" w:hAnsi="David" w:cs="David"/>
          <w:sz w:val="24"/>
          <w:szCs w:val="24"/>
          <w:rtl/>
        </w:rPr>
        <w:lastRenderedPageBreak/>
        <w:t>ל</w:t>
      </w:r>
      <w:r w:rsidR="00876745" w:rsidRPr="005F3228">
        <w:rPr>
          <w:rFonts w:ascii="David" w:hAnsi="David" w:cs="David"/>
          <w:sz w:val="24"/>
          <w:szCs w:val="24"/>
          <w:rtl/>
        </w:rPr>
        <w:t>ה</w:t>
      </w:r>
      <w:r w:rsidR="003F15AF" w:rsidRPr="005F3228">
        <w:rPr>
          <w:rFonts w:ascii="David" w:hAnsi="David" w:cs="David"/>
          <w:sz w:val="24"/>
          <w:szCs w:val="24"/>
          <w:rtl/>
        </w:rPr>
        <w:t>רחבת המונופולין של בעל האמצאה".</w:t>
      </w:r>
      <w:r w:rsidR="00EC523A" w:rsidRPr="005F3228">
        <w:rPr>
          <w:rStyle w:val="FootnoteReference"/>
          <w:rFonts w:ascii="David" w:hAnsi="David" w:cs="David"/>
          <w:sz w:val="24"/>
          <w:szCs w:val="24"/>
          <w:rtl/>
        </w:rPr>
        <w:footnoteReference w:id="48"/>
      </w:r>
      <w:r w:rsidR="003F15AF" w:rsidRPr="005F3228">
        <w:rPr>
          <w:rFonts w:ascii="David" w:hAnsi="David" w:cs="David"/>
          <w:sz w:val="24"/>
          <w:szCs w:val="24"/>
          <w:rtl/>
        </w:rPr>
        <w:t xml:space="preserve"> </w:t>
      </w:r>
      <w:r w:rsidR="00876745" w:rsidRPr="005F3228">
        <w:rPr>
          <w:rFonts w:ascii="David" w:hAnsi="David" w:cs="David"/>
          <w:sz w:val="24"/>
          <w:szCs w:val="24"/>
          <w:rtl/>
        </w:rPr>
        <w:t>בדומה לכך, ב</w:t>
      </w:r>
      <w:r w:rsidR="003F15AF" w:rsidRPr="005F3228">
        <w:rPr>
          <w:rFonts w:ascii="David" w:hAnsi="David" w:cs="David"/>
          <w:sz w:val="24"/>
          <w:szCs w:val="24"/>
          <w:rtl/>
        </w:rPr>
        <w:t>דברי ההסבר שנלוו להצעת החוק</w:t>
      </w:r>
      <w:r w:rsidR="00876745" w:rsidRPr="005F3228">
        <w:rPr>
          <w:rFonts w:ascii="David" w:hAnsi="David" w:cs="David"/>
          <w:sz w:val="24"/>
          <w:szCs w:val="24"/>
          <w:rtl/>
        </w:rPr>
        <w:t xml:space="preserve"> הודגש כי</w:t>
      </w:r>
      <w:r w:rsidR="003F15AF" w:rsidRPr="005F3228">
        <w:rPr>
          <w:rFonts w:ascii="David" w:hAnsi="David" w:cs="David"/>
          <w:sz w:val="24"/>
          <w:szCs w:val="24"/>
          <w:rtl/>
        </w:rPr>
        <w:t xml:space="preserve"> האמצאות העומדות על הפרק במקרים</w:t>
      </w:r>
      <w:r w:rsidR="00876745" w:rsidRPr="005F3228">
        <w:rPr>
          <w:rFonts w:ascii="David" w:hAnsi="David" w:cs="David"/>
          <w:sz w:val="24"/>
          <w:szCs w:val="24"/>
          <w:rtl/>
        </w:rPr>
        <w:t xml:space="preserve"> בהם חל הסדר ייחוד העילה</w:t>
      </w:r>
      <w:r w:rsidR="003F15AF" w:rsidRPr="005F3228">
        <w:rPr>
          <w:rFonts w:ascii="David" w:hAnsi="David" w:cs="David"/>
          <w:sz w:val="24"/>
          <w:szCs w:val="24"/>
          <w:rtl/>
        </w:rPr>
        <w:t xml:space="preserve"> הן נחלת הכלל והאפשרות לקבל סעד בעשיית עושר בשל ניצולן "סותרת את האיזונים הספציפיים אשר נקבעו לפי חוק הפטנטים".</w:t>
      </w:r>
      <w:r w:rsidR="00EC523A" w:rsidRPr="005F3228">
        <w:rPr>
          <w:rStyle w:val="FootnoteReference"/>
          <w:rFonts w:ascii="David" w:hAnsi="David" w:cs="David"/>
          <w:sz w:val="24"/>
          <w:szCs w:val="24"/>
          <w:rtl/>
        </w:rPr>
        <w:footnoteReference w:id="49"/>
      </w:r>
      <w:r w:rsidR="003F15AF" w:rsidRPr="005F3228">
        <w:rPr>
          <w:rFonts w:ascii="David" w:hAnsi="David" w:cs="David"/>
          <w:sz w:val="24"/>
          <w:szCs w:val="24"/>
          <w:rtl/>
        </w:rPr>
        <w:t xml:space="preserve"> </w:t>
      </w:r>
      <w:r w:rsidR="00FE4845" w:rsidRPr="005F3228">
        <w:rPr>
          <w:rFonts w:ascii="David" w:hAnsi="David" w:cs="David"/>
          <w:sz w:val="24"/>
          <w:szCs w:val="24"/>
          <w:rtl/>
        </w:rPr>
        <w:t>ראוי לציין</w:t>
      </w:r>
      <w:r w:rsidR="003F15AF" w:rsidRPr="005F3228">
        <w:rPr>
          <w:rFonts w:ascii="David" w:hAnsi="David" w:cs="David"/>
          <w:sz w:val="24"/>
          <w:szCs w:val="24"/>
          <w:rtl/>
        </w:rPr>
        <w:t>,</w:t>
      </w:r>
      <w:r w:rsidR="00FE4845" w:rsidRPr="005F3228">
        <w:rPr>
          <w:rFonts w:ascii="David" w:hAnsi="David" w:cs="David"/>
          <w:sz w:val="24"/>
          <w:szCs w:val="24"/>
          <w:rtl/>
        </w:rPr>
        <w:t xml:space="preserve"> כי</w:t>
      </w:r>
      <w:r w:rsidR="003F15AF" w:rsidRPr="005F3228">
        <w:rPr>
          <w:rFonts w:ascii="David" w:hAnsi="David" w:cs="David"/>
          <w:sz w:val="24"/>
          <w:szCs w:val="24"/>
          <w:rtl/>
        </w:rPr>
        <w:t xml:space="preserve"> </w:t>
      </w:r>
      <w:r w:rsidR="00617250" w:rsidRPr="005F3228">
        <w:rPr>
          <w:rFonts w:ascii="David" w:hAnsi="David" w:cs="David"/>
          <w:sz w:val="24"/>
          <w:szCs w:val="24"/>
          <w:rtl/>
        </w:rPr>
        <w:t>עוד לפני הגשת הצעת החוק, קבע בית המשפט העליון ב</w:t>
      </w:r>
      <w:r w:rsidR="00E67B64" w:rsidRPr="005F3228">
        <w:rPr>
          <w:rFonts w:ascii="David" w:hAnsi="David" w:cs="David"/>
          <w:sz w:val="24"/>
          <w:szCs w:val="24"/>
          <w:rtl/>
        </w:rPr>
        <w:t xml:space="preserve">פרשת </w:t>
      </w:r>
      <w:r w:rsidR="00E67B64" w:rsidRPr="005F3228">
        <w:rPr>
          <w:rFonts w:ascii="David" w:hAnsi="David" w:cs="David"/>
          <w:b/>
          <w:bCs/>
          <w:sz w:val="24"/>
          <w:szCs w:val="24"/>
        </w:rPr>
        <w:t>Merck</w:t>
      </w:r>
      <w:r w:rsidR="00E67B64" w:rsidRPr="005F3228">
        <w:rPr>
          <w:rFonts w:ascii="David" w:hAnsi="David" w:cs="David"/>
          <w:b/>
          <w:bCs/>
          <w:sz w:val="24"/>
          <w:szCs w:val="24"/>
          <w:rtl/>
        </w:rPr>
        <w:t xml:space="preserve"> נ' טבע</w:t>
      </w:r>
      <w:r w:rsidR="00E67B64" w:rsidRPr="005F3228">
        <w:rPr>
          <w:rFonts w:ascii="David" w:hAnsi="David" w:cs="David"/>
          <w:sz w:val="24"/>
          <w:szCs w:val="24"/>
          <w:rtl/>
        </w:rPr>
        <w:t xml:space="preserve">, </w:t>
      </w:r>
      <w:r w:rsidR="007C4EE3" w:rsidRPr="005F3228">
        <w:rPr>
          <w:rFonts w:ascii="David" w:hAnsi="David" w:cs="David"/>
          <w:sz w:val="24"/>
          <w:szCs w:val="24"/>
          <w:rtl/>
        </w:rPr>
        <w:t>כי "אין להיזקק לתרופות מתחום דיני עשיית עושר לצורך מתן הגנה לבעל אמצאה בתקופת הביניים שבין פרסום קיבול בקשת פטנט לבין ההכרעה בבקשת ה</w:t>
      </w:r>
      <w:r w:rsidR="00C60E53" w:rsidRPr="005F3228">
        <w:rPr>
          <w:rFonts w:ascii="David" w:hAnsi="David" w:cs="David"/>
          <w:sz w:val="24"/>
          <w:szCs w:val="24"/>
          <w:rtl/>
        </w:rPr>
        <w:t>פטנט</w:t>
      </w:r>
      <w:r w:rsidR="007C4EE3" w:rsidRPr="005F3228">
        <w:rPr>
          <w:rFonts w:ascii="David" w:hAnsi="David" w:cs="David"/>
          <w:sz w:val="24"/>
          <w:szCs w:val="24"/>
          <w:rtl/>
        </w:rPr>
        <w:t>"</w:t>
      </w:r>
      <w:r w:rsidR="00C60E53" w:rsidRPr="005F3228">
        <w:rPr>
          <w:rFonts w:ascii="David" w:hAnsi="David" w:cs="David"/>
          <w:sz w:val="24"/>
          <w:szCs w:val="24"/>
          <w:rtl/>
        </w:rPr>
        <w:t>.</w:t>
      </w:r>
      <w:r w:rsidR="007C4EE3" w:rsidRPr="005F3228">
        <w:rPr>
          <w:rStyle w:val="FootnoteReference"/>
          <w:rFonts w:ascii="David" w:hAnsi="David" w:cs="David"/>
          <w:sz w:val="24"/>
          <w:szCs w:val="24"/>
          <w:rtl/>
        </w:rPr>
        <w:footnoteReference w:id="50"/>
      </w:r>
      <w:r w:rsidR="003F15AF" w:rsidRPr="005F3228">
        <w:rPr>
          <w:rFonts w:ascii="David" w:hAnsi="David" w:cs="David"/>
          <w:sz w:val="24"/>
          <w:szCs w:val="24"/>
          <w:rtl/>
        </w:rPr>
        <w:t xml:space="preserve"> </w:t>
      </w:r>
      <w:r w:rsidR="00FE4845" w:rsidRPr="005F3228">
        <w:rPr>
          <w:rFonts w:ascii="David" w:hAnsi="David" w:cs="David"/>
          <w:sz w:val="24"/>
          <w:szCs w:val="24"/>
          <w:rtl/>
        </w:rPr>
        <w:t xml:space="preserve">הצעת החוק </w:t>
      </w:r>
      <w:r w:rsidR="00B95779" w:rsidRPr="005F3228">
        <w:rPr>
          <w:rFonts w:ascii="David" w:hAnsi="David" w:cs="David"/>
          <w:sz w:val="24"/>
          <w:szCs w:val="24"/>
          <w:rtl/>
        </w:rPr>
        <w:t>ביקשה</w:t>
      </w:r>
      <w:r w:rsidR="007C4EE3" w:rsidRPr="005F3228">
        <w:rPr>
          <w:rFonts w:ascii="David" w:hAnsi="David" w:cs="David"/>
          <w:sz w:val="24"/>
          <w:szCs w:val="24"/>
          <w:rtl/>
        </w:rPr>
        <w:t xml:space="preserve"> </w:t>
      </w:r>
      <w:r w:rsidR="00B95779" w:rsidRPr="005F3228">
        <w:rPr>
          <w:rFonts w:ascii="David" w:hAnsi="David" w:cs="David"/>
          <w:sz w:val="24"/>
          <w:szCs w:val="24"/>
          <w:rtl/>
        </w:rPr>
        <w:t xml:space="preserve">לוודא כי </w:t>
      </w:r>
      <w:r w:rsidR="007C4EE3" w:rsidRPr="005F3228">
        <w:rPr>
          <w:rFonts w:ascii="David" w:hAnsi="David" w:cs="David"/>
          <w:sz w:val="24"/>
          <w:szCs w:val="24"/>
          <w:rtl/>
        </w:rPr>
        <w:t xml:space="preserve">עמדה </w:t>
      </w:r>
      <w:r w:rsidR="00B95779" w:rsidRPr="005F3228">
        <w:rPr>
          <w:rFonts w:ascii="David" w:hAnsi="David" w:cs="David"/>
          <w:sz w:val="24"/>
          <w:szCs w:val="24"/>
          <w:rtl/>
        </w:rPr>
        <w:t xml:space="preserve">עקרונית </w:t>
      </w:r>
      <w:r w:rsidR="007C4EE3" w:rsidRPr="005F3228">
        <w:rPr>
          <w:rFonts w:ascii="David" w:hAnsi="David" w:cs="David"/>
          <w:sz w:val="24"/>
          <w:szCs w:val="24"/>
          <w:rtl/>
        </w:rPr>
        <w:t xml:space="preserve">זו </w:t>
      </w:r>
      <w:r w:rsidR="00B95779" w:rsidRPr="005F3228">
        <w:rPr>
          <w:rFonts w:ascii="David" w:hAnsi="David" w:cs="David"/>
          <w:sz w:val="24"/>
          <w:szCs w:val="24"/>
          <w:rtl/>
        </w:rPr>
        <w:t xml:space="preserve">תחול </w:t>
      </w:r>
      <w:r w:rsidR="007C4EE3" w:rsidRPr="005F3228">
        <w:rPr>
          <w:rFonts w:ascii="David" w:hAnsi="David" w:cs="David"/>
          <w:sz w:val="24"/>
          <w:szCs w:val="24"/>
          <w:rtl/>
        </w:rPr>
        <w:t>גם בנסיבות נוספות בהן עשוי להתבקש סעד בעשיית עושר כאשר אין עילה מכוח דיני הפטנטים</w:t>
      </w:r>
      <w:r w:rsidR="003F15AF" w:rsidRPr="005F3228">
        <w:rPr>
          <w:rFonts w:ascii="David" w:hAnsi="David" w:cs="David"/>
          <w:sz w:val="24"/>
          <w:szCs w:val="24"/>
          <w:rtl/>
        </w:rPr>
        <w:t>.</w:t>
      </w:r>
      <w:r w:rsidR="00C60E53" w:rsidRPr="005F3228">
        <w:rPr>
          <w:rFonts w:ascii="David" w:hAnsi="David" w:cs="David"/>
          <w:sz w:val="24"/>
          <w:szCs w:val="24"/>
          <w:rtl/>
        </w:rPr>
        <w:t xml:space="preserve"> </w:t>
      </w:r>
      <w:r w:rsidR="00FE4845" w:rsidRPr="005F3228">
        <w:rPr>
          <w:rFonts w:ascii="David" w:hAnsi="David" w:cs="David"/>
          <w:sz w:val="24"/>
          <w:szCs w:val="24"/>
          <w:rtl/>
        </w:rPr>
        <w:t xml:space="preserve">בסופו של דבר, </w:t>
      </w:r>
      <w:r w:rsidR="00512D6F" w:rsidRPr="005F3228">
        <w:rPr>
          <w:rFonts w:ascii="David" w:hAnsi="David" w:cs="David" w:hint="cs"/>
          <w:sz w:val="24"/>
          <w:szCs w:val="24"/>
          <w:rtl/>
        </w:rPr>
        <w:t>הצעת החוק לא התקבלה ו</w:t>
      </w:r>
      <w:r w:rsidR="00FE4845" w:rsidRPr="005F3228">
        <w:rPr>
          <w:rFonts w:ascii="David" w:hAnsi="David" w:cs="David"/>
          <w:sz w:val="24"/>
          <w:szCs w:val="24"/>
          <w:rtl/>
        </w:rPr>
        <w:t>סעיף ייחוד העילה לא נכנס לחוק הפטנטים.</w:t>
      </w:r>
      <w:bookmarkStart w:id="29" w:name="_Ref27910708"/>
      <w:r w:rsidR="00EC523A" w:rsidRPr="005F3228">
        <w:rPr>
          <w:rStyle w:val="FootnoteReference"/>
          <w:rFonts w:ascii="David" w:hAnsi="David" w:cs="David"/>
          <w:sz w:val="24"/>
          <w:szCs w:val="24"/>
          <w:rtl/>
        </w:rPr>
        <w:footnoteReference w:id="51"/>
      </w:r>
      <w:bookmarkEnd w:id="29"/>
      <w:r w:rsidR="00FE4845" w:rsidRPr="005F3228">
        <w:rPr>
          <w:rFonts w:ascii="David" w:hAnsi="David" w:cs="David"/>
          <w:sz w:val="24"/>
          <w:szCs w:val="24"/>
          <w:rtl/>
        </w:rPr>
        <w:t xml:space="preserve"> </w:t>
      </w:r>
    </w:p>
    <w:p w14:paraId="647286B8" w14:textId="77777777" w:rsidR="009205D7" w:rsidRPr="005F3228" w:rsidRDefault="00F20B68" w:rsidP="00FC0265">
      <w:pPr>
        <w:spacing w:line="300" w:lineRule="exact"/>
        <w:jc w:val="both"/>
        <w:rPr>
          <w:rFonts w:ascii="David" w:hAnsi="David" w:cs="David"/>
          <w:sz w:val="24"/>
          <w:szCs w:val="24"/>
          <w:rtl/>
        </w:rPr>
      </w:pPr>
      <w:r w:rsidRPr="005F3228">
        <w:rPr>
          <w:rFonts w:ascii="David" w:hAnsi="David" w:cs="David"/>
          <w:sz w:val="24"/>
          <w:szCs w:val="24"/>
          <w:rtl/>
        </w:rPr>
        <w:t xml:space="preserve">מספר שנים לאחר מכן, </w:t>
      </w:r>
      <w:r w:rsidR="004152C3" w:rsidRPr="005F3228">
        <w:rPr>
          <w:rFonts w:ascii="David" w:hAnsi="David" w:cs="David"/>
          <w:sz w:val="24"/>
          <w:szCs w:val="24"/>
          <w:rtl/>
        </w:rPr>
        <w:t xml:space="preserve">במסגרת חקיקתו של חוק העיצובים, נחקק הסדר ייחוד עילה בהקשר לדיני העיצובים. סעיף 2 לחוק העיצובים קובע כי "לא תהיה זכות בעיצוב, אלא לפי הוראות חוק זה". </w:t>
      </w:r>
      <w:r w:rsidR="009205D7" w:rsidRPr="005F3228">
        <w:rPr>
          <w:rFonts w:ascii="David" w:hAnsi="David" w:cs="David"/>
          <w:sz w:val="24"/>
          <w:szCs w:val="24"/>
          <w:rtl/>
        </w:rPr>
        <w:t xml:space="preserve">הסעיף נחקק, בין היתר, על רקע הלכת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009205D7" w:rsidRPr="005F3228">
        <w:rPr>
          <w:rFonts w:ascii="David" w:hAnsi="David" w:cs="David"/>
          <w:sz w:val="24"/>
          <w:szCs w:val="24"/>
          <w:rtl/>
        </w:rPr>
        <w:t>, ונועד "להבהיר כי לבעל עיצוב לא תהיה עילת תביעה לפי חקיקה כללית ושיורית, כגון חוק עשיית עושר ולא במשפט".</w:t>
      </w:r>
      <w:bookmarkStart w:id="30" w:name="_Ref28321967"/>
      <w:r w:rsidR="00D73CE2" w:rsidRPr="005F3228">
        <w:rPr>
          <w:rStyle w:val="FootnoteReference"/>
          <w:rFonts w:ascii="David" w:hAnsi="David" w:cs="David"/>
          <w:sz w:val="24"/>
          <w:szCs w:val="24"/>
          <w:rtl/>
        </w:rPr>
        <w:footnoteReference w:id="52"/>
      </w:r>
      <w:bookmarkEnd w:id="30"/>
      <w:r w:rsidR="009205D7" w:rsidRPr="005F3228">
        <w:rPr>
          <w:rFonts w:ascii="David" w:hAnsi="David" w:cs="David"/>
          <w:sz w:val="24"/>
          <w:szCs w:val="24"/>
          <w:rtl/>
        </w:rPr>
        <w:t xml:space="preserve"> </w:t>
      </w:r>
      <w:r w:rsidR="0048089F" w:rsidRPr="005F3228">
        <w:rPr>
          <w:rFonts w:ascii="David" w:hAnsi="David" w:cs="David"/>
          <w:sz w:val="24"/>
          <w:szCs w:val="24"/>
          <w:rtl/>
        </w:rPr>
        <w:t>ראוי לציין כי אחד ה</w:t>
      </w:r>
      <w:r w:rsidR="00CE4215" w:rsidRPr="005F3228">
        <w:rPr>
          <w:rFonts w:ascii="David" w:hAnsi="David" w:cs="David"/>
          <w:sz w:val="24"/>
          <w:szCs w:val="24"/>
          <w:rtl/>
        </w:rPr>
        <w:t>חידוש</w:t>
      </w:r>
      <w:r w:rsidR="0048089F" w:rsidRPr="005F3228">
        <w:rPr>
          <w:rFonts w:ascii="David" w:hAnsi="David" w:cs="David"/>
          <w:sz w:val="24"/>
          <w:szCs w:val="24"/>
          <w:rtl/>
        </w:rPr>
        <w:t>ים</w:t>
      </w:r>
      <w:r w:rsidR="00CE4215" w:rsidRPr="005F3228">
        <w:rPr>
          <w:rFonts w:ascii="David" w:hAnsi="David" w:cs="David"/>
          <w:sz w:val="24"/>
          <w:szCs w:val="24"/>
          <w:rtl/>
        </w:rPr>
        <w:t xml:space="preserve"> </w:t>
      </w:r>
      <w:r w:rsidR="0048089F" w:rsidRPr="005F3228">
        <w:rPr>
          <w:rFonts w:ascii="David" w:hAnsi="David" w:cs="David"/>
          <w:sz w:val="24"/>
          <w:szCs w:val="24"/>
          <w:rtl/>
        </w:rPr>
        <w:t>ה</w:t>
      </w:r>
      <w:r w:rsidR="00CE4215" w:rsidRPr="005F3228">
        <w:rPr>
          <w:rFonts w:ascii="David" w:hAnsi="David" w:cs="David"/>
          <w:sz w:val="24"/>
          <w:szCs w:val="24"/>
          <w:rtl/>
        </w:rPr>
        <w:t>משמעותי</w:t>
      </w:r>
      <w:r w:rsidR="0048089F" w:rsidRPr="005F3228">
        <w:rPr>
          <w:rFonts w:ascii="David" w:hAnsi="David" w:cs="David"/>
          <w:sz w:val="24"/>
          <w:szCs w:val="24"/>
          <w:rtl/>
        </w:rPr>
        <w:t>ים</w:t>
      </w:r>
      <w:r w:rsidR="00CE4215" w:rsidRPr="005F3228">
        <w:rPr>
          <w:rFonts w:ascii="David" w:hAnsi="David" w:cs="David"/>
          <w:sz w:val="24"/>
          <w:szCs w:val="24"/>
          <w:rtl/>
        </w:rPr>
        <w:t xml:space="preserve"> ביותר בחוק</w:t>
      </w:r>
      <w:r w:rsidR="0048089F" w:rsidRPr="005F3228">
        <w:rPr>
          <w:rFonts w:ascii="David" w:hAnsi="David" w:cs="David"/>
          <w:sz w:val="24"/>
          <w:szCs w:val="24"/>
          <w:rtl/>
        </w:rPr>
        <w:t xml:space="preserve"> העיצובים הינו </w:t>
      </w:r>
      <w:r w:rsidR="004F53B1" w:rsidRPr="005F3228">
        <w:rPr>
          <w:rFonts w:ascii="David" w:hAnsi="David" w:cs="David"/>
          <w:sz w:val="24"/>
          <w:szCs w:val="24"/>
          <w:rtl/>
        </w:rPr>
        <w:t>יצירת</w:t>
      </w:r>
      <w:r w:rsidR="00CE4215" w:rsidRPr="005F3228">
        <w:rPr>
          <w:rFonts w:ascii="David" w:hAnsi="David" w:cs="David"/>
          <w:sz w:val="24"/>
          <w:szCs w:val="24"/>
          <w:rtl/>
        </w:rPr>
        <w:t xml:space="preserve"> </w:t>
      </w:r>
      <w:r w:rsidR="004F53B1" w:rsidRPr="005F3228">
        <w:rPr>
          <w:rFonts w:ascii="David" w:hAnsi="David" w:cs="David"/>
          <w:sz w:val="24"/>
          <w:szCs w:val="24"/>
          <w:rtl/>
        </w:rPr>
        <w:t>מסלול הגנה לעיצובים לא רשומים</w:t>
      </w:r>
      <w:r w:rsidR="00CE4215" w:rsidRPr="005F3228">
        <w:rPr>
          <w:rFonts w:ascii="David" w:hAnsi="David" w:cs="David"/>
          <w:sz w:val="24"/>
          <w:szCs w:val="24"/>
          <w:rtl/>
        </w:rPr>
        <w:t>, לראשונה במשפט הישראלי</w:t>
      </w:r>
      <w:r w:rsidR="004F53B1" w:rsidRPr="005F3228">
        <w:rPr>
          <w:rFonts w:ascii="David" w:hAnsi="David" w:cs="David"/>
          <w:sz w:val="24"/>
          <w:szCs w:val="24"/>
          <w:rtl/>
        </w:rPr>
        <w:t xml:space="preserve">. </w:t>
      </w:r>
      <w:r w:rsidR="00CE4215" w:rsidRPr="005F3228">
        <w:rPr>
          <w:rFonts w:ascii="David" w:hAnsi="David" w:cs="David"/>
          <w:sz w:val="24"/>
          <w:szCs w:val="24"/>
          <w:rtl/>
        </w:rPr>
        <w:t xml:space="preserve">מסלול זה </w:t>
      </w:r>
      <w:r w:rsidR="0048089F" w:rsidRPr="005F3228">
        <w:rPr>
          <w:rFonts w:ascii="David" w:hAnsi="David" w:cs="David"/>
          <w:sz w:val="24"/>
          <w:szCs w:val="24"/>
          <w:rtl/>
        </w:rPr>
        <w:t xml:space="preserve">עשוי לסייע לתובע לזכות בסעד כנגד העתקה במגוון מצבים </w:t>
      </w:r>
      <w:r w:rsidR="00CE4215" w:rsidRPr="005F3228">
        <w:rPr>
          <w:rFonts w:ascii="David" w:hAnsi="David" w:cs="David"/>
          <w:sz w:val="24"/>
          <w:szCs w:val="24"/>
          <w:rtl/>
        </w:rPr>
        <w:t>בהם עיצוב מוצר לא זכה עד היום להגנה אפקטיבית של דיני הקניין הרוחני</w:t>
      </w:r>
      <w:r w:rsidR="00BA4DE1" w:rsidRPr="005F3228">
        <w:rPr>
          <w:rFonts w:ascii="David" w:hAnsi="David" w:cs="David"/>
          <w:sz w:val="24"/>
          <w:szCs w:val="24"/>
          <w:rtl/>
        </w:rPr>
        <w:t>, כמו</w:t>
      </w:r>
      <w:r w:rsidR="0048089F" w:rsidRPr="005F3228">
        <w:rPr>
          <w:rFonts w:ascii="David" w:hAnsi="David" w:cs="David"/>
          <w:sz w:val="24"/>
          <w:szCs w:val="24"/>
          <w:rtl/>
        </w:rPr>
        <w:t>, למשל,</w:t>
      </w:r>
      <w:r w:rsidR="00CE4215" w:rsidRPr="005F3228">
        <w:rPr>
          <w:rFonts w:ascii="David" w:hAnsi="David" w:cs="David"/>
          <w:sz w:val="24"/>
          <w:szCs w:val="24"/>
          <w:rtl/>
        </w:rPr>
        <w:t xml:space="preserve"> בתחום האופנה.</w:t>
      </w:r>
      <w:bookmarkStart w:id="31" w:name="_Ref27910678"/>
      <w:r w:rsidR="00D73CE2" w:rsidRPr="005F3228">
        <w:rPr>
          <w:rStyle w:val="FootnoteReference"/>
          <w:rFonts w:ascii="David" w:hAnsi="David" w:cs="David"/>
          <w:sz w:val="24"/>
          <w:szCs w:val="24"/>
          <w:rtl/>
        </w:rPr>
        <w:footnoteReference w:id="53"/>
      </w:r>
      <w:bookmarkEnd w:id="31"/>
      <w:r w:rsidR="0048089F" w:rsidRPr="005F3228">
        <w:rPr>
          <w:rFonts w:ascii="David" w:hAnsi="David" w:cs="David"/>
          <w:sz w:val="24"/>
          <w:szCs w:val="24"/>
          <w:rtl/>
        </w:rPr>
        <w:t xml:space="preserve"> משנו</w:t>
      </w:r>
      <w:r w:rsidR="00D73CE2" w:rsidRPr="005F3228">
        <w:rPr>
          <w:rFonts w:ascii="David" w:hAnsi="David" w:cs="David"/>
          <w:sz w:val="24"/>
          <w:szCs w:val="24"/>
          <w:rtl/>
        </w:rPr>
        <w:t>סף</w:t>
      </w:r>
      <w:r w:rsidR="0048089F" w:rsidRPr="005F3228">
        <w:rPr>
          <w:rFonts w:ascii="David" w:hAnsi="David" w:cs="David"/>
          <w:sz w:val="24"/>
          <w:szCs w:val="24"/>
          <w:rtl/>
        </w:rPr>
        <w:t xml:space="preserve"> מסלול הגנה לעיצובים </w:t>
      </w:r>
      <w:r w:rsidR="006803F5" w:rsidRPr="005F3228">
        <w:rPr>
          <w:rFonts w:ascii="David" w:hAnsi="David" w:cs="David"/>
          <w:sz w:val="24"/>
          <w:szCs w:val="24"/>
          <w:rtl/>
        </w:rPr>
        <w:t>לא</w:t>
      </w:r>
      <w:r w:rsidR="0048089F" w:rsidRPr="005F3228">
        <w:rPr>
          <w:rFonts w:ascii="David" w:hAnsi="David" w:cs="David"/>
          <w:sz w:val="24"/>
          <w:szCs w:val="24"/>
          <w:rtl/>
        </w:rPr>
        <w:t xml:space="preserve"> רשומים במשפטנו, </w:t>
      </w:r>
      <w:r w:rsidR="00D73CE2" w:rsidRPr="005F3228">
        <w:rPr>
          <w:rFonts w:ascii="David" w:hAnsi="David" w:cs="David"/>
          <w:sz w:val="24"/>
          <w:szCs w:val="24"/>
          <w:rtl/>
        </w:rPr>
        <w:t>הצורך לעשות שימוש בדיני עשיית עושר ביחס לעיצובים פחת</w:t>
      </w:r>
      <w:r w:rsidR="00BF7980" w:rsidRPr="005F3228">
        <w:rPr>
          <w:rFonts w:ascii="David" w:hAnsi="David" w:cs="David"/>
          <w:sz w:val="24"/>
          <w:szCs w:val="24"/>
          <w:rtl/>
        </w:rPr>
        <w:t xml:space="preserve"> לכאורה</w:t>
      </w:r>
      <w:r w:rsidR="00D73CE2" w:rsidRPr="005F3228">
        <w:rPr>
          <w:rFonts w:ascii="David" w:hAnsi="David" w:cs="David"/>
          <w:sz w:val="24"/>
          <w:szCs w:val="24"/>
          <w:rtl/>
        </w:rPr>
        <w:t xml:space="preserve"> באופן משמעותי, </w:t>
      </w:r>
      <w:r w:rsidR="006803F5" w:rsidRPr="005F3228">
        <w:rPr>
          <w:rFonts w:ascii="David" w:hAnsi="David" w:cs="David"/>
          <w:sz w:val="24"/>
          <w:szCs w:val="24"/>
          <w:rtl/>
        </w:rPr>
        <w:t xml:space="preserve">ואת הכללתו של </w:t>
      </w:r>
      <w:r w:rsidR="0048089F" w:rsidRPr="005F3228">
        <w:rPr>
          <w:rFonts w:ascii="David" w:hAnsi="David" w:cs="David"/>
          <w:sz w:val="24"/>
          <w:szCs w:val="24"/>
          <w:rtl/>
        </w:rPr>
        <w:t>הסדר ייחוד עילה</w:t>
      </w:r>
      <w:r w:rsidR="00D73CE2" w:rsidRPr="005F3228">
        <w:rPr>
          <w:rFonts w:ascii="David" w:hAnsi="David" w:cs="David"/>
          <w:sz w:val="24"/>
          <w:szCs w:val="24"/>
          <w:rtl/>
        </w:rPr>
        <w:t xml:space="preserve"> </w:t>
      </w:r>
      <w:r w:rsidR="006803F5" w:rsidRPr="005F3228">
        <w:rPr>
          <w:rFonts w:ascii="David" w:hAnsi="David" w:cs="David"/>
          <w:sz w:val="24"/>
          <w:szCs w:val="24"/>
          <w:rtl/>
        </w:rPr>
        <w:t xml:space="preserve">בחוק העיצובים </w:t>
      </w:r>
      <w:r w:rsidR="00FC0265" w:rsidRPr="005F3228">
        <w:rPr>
          <w:rFonts w:ascii="David" w:hAnsi="David" w:cs="David" w:hint="cs"/>
          <w:sz w:val="24"/>
          <w:szCs w:val="24"/>
          <w:rtl/>
        </w:rPr>
        <w:t>יש</w:t>
      </w:r>
      <w:r w:rsidR="005C3B04" w:rsidRPr="005F3228">
        <w:rPr>
          <w:rFonts w:ascii="David" w:hAnsi="David" w:cs="David"/>
          <w:sz w:val="24"/>
          <w:szCs w:val="24"/>
          <w:rtl/>
        </w:rPr>
        <w:t xml:space="preserve"> </w:t>
      </w:r>
      <w:r w:rsidR="006803F5" w:rsidRPr="005F3228">
        <w:rPr>
          <w:rFonts w:ascii="David" w:hAnsi="David" w:cs="David"/>
          <w:sz w:val="24"/>
          <w:szCs w:val="24"/>
          <w:rtl/>
        </w:rPr>
        <w:t>להבין גם על רקע זה</w:t>
      </w:r>
      <w:r w:rsidR="0048089F" w:rsidRPr="005F3228">
        <w:rPr>
          <w:rFonts w:ascii="David" w:hAnsi="David" w:cs="David"/>
          <w:sz w:val="24"/>
          <w:szCs w:val="24"/>
          <w:rtl/>
        </w:rPr>
        <w:t xml:space="preserve">. </w:t>
      </w:r>
    </w:p>
    <w:p w14:paraId="18A73369" w14:textId="77777777" w:rsidR="00ED12E2" w:rsidRPr="005F3228" w:rsidRDefault="00BF7980" w:rsidP="0015513D">
      <w:pPr>
        <w:spacing w:line="300" w:lineRule="exact"/>
        <w:jc w:val="both"/>
        <w:rPr>
          <w:rFonts w:ascii="David" w:hAnsi="David" w:cs="David"/>
          <w:sz w:val="24"/>
          <w:szCs w:val="24"/>
          <w:rtl/>
        </w:rPr>
      </w:pPr>
      <w:r w:rsidRPr="005F3228">
        <w:rPr>
          <w:rFonts w:ascii="David" w:hAnsi="David" w:cs="David"/>
          <w:sz w:val="24"/>
          <w:szCs w:val="24"/>
          <w:rtl/>
        </w:rPr>
        <w:t>ניסיון נוסף</w:t>
      </w:r>
      <w:r w:rsidR="006803F5" w:rsidRPr="005F3228">
        <w:rPr>
          <w:rFonts w:ascii="David" w:hAnsi="David" w:cs="David"/>
          <w:sz w:val="24"/>
          <w:szCs w:val="24"/>
          <w:rtl/>
        </w:rPr>
        <w:t xml:space="preserve"> לכרסם בהלכת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Pr="005F3228">
        <w:rPr>
          <w:rFonts w:ascii="David" w:hAnsi="David" w:cs="David"/>
          <w:sz w:val="24"/>
          <w:szCs w:val="24"/>
          <w:rtl/>
        </w:rPr>
        <w:t xml:space="preserve"> </w:t>
      </w:r>
      <w:r w:rsidR="00B71C43" w:rsidRPr="005F3228">
        <w:rPr>
          <w:rFonts w:ascii="David" w:hAnsi="David" w:cs="David" w:hint="cs"/>
          <w:sz w:val="24"/>
          <w:szCs w:val="24"/>
          <w:rtl/>
        </w:rPr>
        <w:t>ולמעשה לבטלה כליל</w:t>
      </w:r>
      <w:r w:rsidR="00E81276" w:rsidRPr="005F3228">
        <w:rPr>
          <w:rFonts w:ascii="David" w:hAnsi="David" w:cs="David" w:hint="cs"/>
          <w:sz w:val="24"/>
          <w:szCs w:val="24"/>
          <w:rtl/>
        </w:rPr>
        <w:t>,</w:t>
      </w:r>
      <w:r w:rsidR="00B71C43" w:rsidRPr="005F3228">
        <w:rPr>
          <w:rFonts w:ascii="David" w:hAnsi="David" w:cs="David" w:hint="cs"/>
          <w:sz w:val="24"/>
          <w:szCs w:val="24"/>
          <w:rtl/>
        </w:rPr>
        <w:t xml:space="preserve"> </w:t>
      </w:r>
      <w:r w:rsidR="006803F5" w:rsidRPr="005F3228">
        <w:rPr>
          <w:rFonts w:ascii="David" w:hAnsi="David" w:cs="David"/>
          <w:sz w:val="24"/>
          <w:szCs w:val="24"/>
          <w:rtl/>
        </w:rPr>
        <w:t xml:space="preserve">נעשה </w:t>
      </w:r>
      <w:r w:rsidRPr="005F3228">
        <w:rPr>
          <w:rFonts w:ascii="David" w:hAnsi="David" w:cs="David"/>
          <w:sz w:val="24"/>
          <w:szCs w:val="24"/>
          <w:rtl/>
        </w:rPr>
        <w:t xml:space="preserve">לאחרונה </w:t>
      </w:r>
      <w:r w:rsidR="006803F5" w:rsidRPr="005F3228">
        <w:rPr>
          <w:rFonts w:ascii="David" w:hAnsi="David" w:cs="David"/>
          <w:sz w:val="24"/>
          <w:szCs w:val="24"/>
          <w:rtl/>
        </w:rPr>
        <w:t xml:space="preserve">בהקשר </w:t>
      </w:r>
      <w:r w:rsidR="005C3B04" w:rsidRPr="005F3228">
        <w:rPr>
          <w:rFonts w:ascii="David" w:hAnsi="David" w:cs="David"/>
          <w:sz w:val="24"/>
          <w:szCs w:val="24"/>
          <w:rtl/>
        </w:rPr>
        <w:t>ל</w:t>
      </w:r>
      <w:r w:rsidR="007F60CC" w:rsidRPr="005F3228">
        <w:rPr>
          <w:rFonts w:ascii="David" w:hAnsi="David" w:cs="David"/>
          <w:sz w:val="24"/>
          <w:szCs w:val="24"/>
          <w:rtl/>
        </w:rPr>
        <w:t xml:space="preserve">עניין </w:t>
      </w:r>
      <w:r w:rsidR="007F60CC" w:rsidRPr="005F3228">
        <w:rPr>
          <w:rFonts w:ascii="David" w:hAnsi="David" w:cs="David"/>
          <w:b/>
          <w:bCs/>
          <w:sz w:val="24"/>
          <w:szCs w:val="24"/>
        </w:rPr>
        <w:t>Fisher Price</w:t>
      </w:r>
      <w:r w:rsidR="00ED12E2" w:rsidRPr="005F3228">
        <w:rPr>
          <w:rFonts w:ascii="David" w:hAnsi="David" w:cs="David"/>
          <w:sz w:val="24"/>
          <w:szCs w:val="24"/>
          <w:rtl/>
        </w:rPr>
        <w:t>.</w:t>
      </w:r>
      <w:bookmarkStart w:id="32" w:name="_Ref27988767"/>
      <w:r w:rsidR="005C3B04" w:rsidRPr="005F3228">
        <w:rPr>
          <w:rStyle w:val="FootnoteReference"/>
          <w:rFonts w:ascii="David" w:hAnsi="David" w:cs="David"/>
          <w:sz w:val="24"/>
          <w:szCs w:val="24"/>
          <w:rtl/>
        </w:rPr>
        <w:footnoteReference w:id="54"/>
      </w:r>
      <w:bookmarkEnd w:id="32"/>
      <w:r w:rsidR="00ED12E2" w:rsidRPr="005F3228">
        <w:rPr>
          <w:rFonts w:ascii="David" w:hAnsi="David" w:cs="David"/>
          <w:sz w:val="24"/>
          <w:szCs w:val="24"/>
          <w:rtl/>
        </w:rPr>
        <w:t xml:space="preserve"> </w:t>
      </w:r>
      <w:r w:rsidR="00E974ED" w:rsidRPr="005F3228">
        <w:rPr>
          <w:rFonts w:ascii="David" w:hAnsi="David" w:cs="David"/>
          <w:sz w:val="24"/>
          <w:szCs w:val="24"/>
          <w:rtl/>
        </w:rPr>
        <w:t>התביעה שנדונה בפרשה זו נגעה לחיקוי של כיסא נדנדה לתינוק, לרבות הריפוד המצויר</w:t>
      </w:r>
      <w:r w:rsidR="00DD6561" w:rsidRPr="005F3228">
        <w:rPr>
          <w:rFonts w:ascii="David" w:hAnsi="David" w:cs="David"/>
          <w:sz w:val="24"/>
          <w:szCs w:val="24"/>
          <w:rtl/>
        </w:rPr>
        <w:t xml:space="preserve"> שעל גביו</w:t>
      </w:r>
      <w:r w:rsidR="00E974ED" w:rsidRPr="005F3228">
        <w:rPr>
          <w:rFonts w:ascii="David" w:hAnsi="David" w:cs="David"/>
          <w:sz w:val="24"/>
          <w:szCs w:val="24"/>
          <w:rtl/>
        </w:rPr>
        <w:t xml:space="preserve">. </w:t>
      </w:r>
      <w:r w:rsidR="00ED12E2" w:rsidRPr="005F3228">
        <w:rPr>
          <w:rFonts w:ascii="David" w:hAnsi="David" w:cs="David"/>
          <w:sz w:val="24"/>
          <w:szCs w:val="24"/>
          <w:rtl/>
        </w:rPr>
        <w:t xml:space="preserve">הדיון בפרשה </w:t>
      </w:r>
      <w:r w:rsidRPr="005F3228">
        <w:rPr>
          <w:rFonts w:ascii="David" w:hAnsi="David" w:cs="David"/>
          <w:sz w:val="24"/>
          <w:szCs w:val="24"/>
          <w:rtl/>
        </w:rPr>
        <w:t xml:space="preserve">התמקד </w:t>
      </w:r>
      <w:r w:rsidR="00ED12E2" w:rsidRPr="005F3228">
        <w:rPr>
          <w:rFonts w:ascii="David" w:hAnsi="David" w:cs="David"/>
          <w:sz w:val="24"/>
          <w:szCs w:val="24"/>
          <w:rtl/>
        </w:rPr>
        <w:t>בשאלת היחס בין דיני העיצובים לדיני זכות היוצרים</w:t>
      </w:r>
      <w:r w:rsidRPr="005F3228">
        <w:rPr>
          <w:rFonts w:ascii="David" w:hAnsi="David" w:cs="David"/>
          <w:sz w:val="24"/>
          <w:szCs w:val="24"/>
          <w:rtl/>
        </w:rPr>
        <w:t>,</w:t>
      </w:r>
      <w:r w:rsidR="007F60CC" w:rsidRPr="005F3228">
        <w:rPr>
          <w:rFonts w:ascii="David" w:hAnsi="David" w:cs="David"/>
          <w:sz w:val="24"/>
          <w:szCs w:val="24"/>
          <w:rtl/>
        </w:rPr>
        <w:t xml:space="preserve"> אך כתב התביעה כלל גם עילה בעשיית עושר</w:t>
      </w:r>
      <w:r w:rsidR="00ED12E2" w:rsidRPr="005F3228">
        <w:rPr>
          <w:rFonts w:ascii="David" w:hAnsi="David" w:cs="David"/>
          <w:sz w:val="24"/>
          <w:szCs w:val="24"/>
          <w:rtl/>
        </w:rPr>
        <w:t>.</w:t>
      </w:r>
      <w:r w:rsidR="007F60CC" w:rsidRPr="005F3228">
        <w:rPr>
          <w:rFonts w:ascii="David" w:hAnsi="David" w:cs="David"/>
          <w:sz w:val="24"/>
          <w:szCs w:val="24"/>
          <w:rtl/>
        </w:rPr>
        <w:t xml:space="preserve"> </w:t>
      </w:r>
      <w:r w:rsidR="00ED12E2" w:rsidRPr="005F3228">
        <w:rPr>
          <w:rFonts w:ascii="David" w:hAnsi="David" w:cs="David"/>
          <w:sz w:val="24"/>
          <w:szCs w:val="24"/>
          <w:rtl/>
        </w:rPr>
        <w:t xml:space="preserve">היועץ המשפטי לממשלה התייצב להליך והוגשה עמדה מטעמו שנועדה להאיר מספר סוגיות משפטיות שהתעוררו בפרשה. </w:t>
      </w:r>
      <w:r w:rsidRPr="005F3228">
        <w:rPr>
          <w:rFonts w:ascii="David" w:hAnsi="David" w:cs="David"/>
          <w:sz w:val="24"/>
          <w:szCs w:val="24"/>
          <w:rtl/>
        </w:rPr>
        <w:t>בהתייחס לעילה בעשיית עושר</w:t>
      </w:r>
      <w:r w:rsidR="007F60CC" w:rsidRPr="005F3228">
        <w:rPr>
          <w:rFonts w:ascii="David" w:hAnsi="David" w:cs="David"/>
          <w:sz w:val="24"/>
          <w:szCs w:val="24"/>
          <w:rtl/>
        </w:rPr>
        <w:t xml:space="preserve">, </w:t>
      </w:r>
      <w:r w:rsidRPr="005F3228">
        <w:rPr>
          <w:rFonts w:ascii="David" w:hAnsi="David" w:cs="David"/>
          <w:sz w:val="24"/>
          <w:szCs w:val="24"/>
          <w:rtl/>
        </w:rPr>
        <w:t xml:space="preserve">ביקש </w:t>
      </w:r>
      <w:r w:rsidR="007F60CC" w:rsidRPr="005F3228">
        <w:rPr>
          <w:rFonts w:ascii="David" w:hAnsi="David" w:cs="David"/>
          <w:sz w:val="24"/>
          <w:szCs w:val="24"/>
          <w:rtl/>
        </w:rPr>
        <w:t xml:space="preserve">היועץ המשפטי </w:t>
      </w:r>
      <w:r w:rsidR="00DD6561" w:rsidRPr="005F3228">
        <w:rPr>
          <w:rFonts w:ascii="David" w:hAnsi="David" w:cs="David"/>
          <w:sz w:val="24"/>
          <w:szCs w:val="24"/>
          <w:rtl/>
        </w:rPr>
        <w:t xml:space="preserve">כי </w:t>
      </w:r>
      <w:r w:rsidR="007F60CC" w:rsidRPr="005F3228">
        <w:rPr>
          <w:rFonts w:ascii="David" w:hAnsi="David" w:cs="David"/>
          <w:sz w:val="24"/>
          <w:szCs w:val="24"/>
          <w:rtl/>
        </w:rPr>
        <w:t xml:space="preserve">בית המשפט </w:t>
      </w:r>
      <w:r w:rsidRPr="005F3228">
        <w:rPr>
          <w:rFonts w:ascii="David" w:hAnsi="David" w:cs="David"/>
          <w:sz w:val="24"/>
          <w:szCs w:val="24"/>
          <w:rtl/>
        </w:rPr>
        <w:t xml:space="preserve">העליון </w:t>
      </w:r>
      <w:r w:rsidR="00DD6561" w:rsidRPr="005F3228">
        <w:rPr>
          <w:rFonts w:ascii="David" w:hAnsi="David" w:cs="David"/>
          <w:sz w:val="24"/>
          <w:szCs w:val="24"/>
          <w:rtl/>
        </w:rPr>
        <w:t>י</w:t>
      </w:r>
      <w:r w:rsidR="007F60CC" w:rsidRPr="005F3228">
        <w:rPr>
          <w:rFonts w:ascii="David" w:hAnsi="David" w:cs="David"/>
          <w:sz w:val="24"/>
          <w:szCs w:val="24"/>
          <w:rtl/>
        </w:rPr>
        <w:t xml:space="preserve">בטל את הלכת </w:t>
      </w:r>
      <w:proofErr w:type="spellStart"/>
      <w:r w:rsidR="007F60CC" w:rsidRPr="005F3228">
        <w:rPr>
          <w:rFonts w:ascii="David" w:hAnsi="David" w:cs="David"/>
          <w:sz w:val="24"/>
          <w:szCs w:val="24"/>
          <w:rtl/>
        </w:rPr>
        <w:t>א.ש.י.ר</w:t>
      </w:r>
      <w:proofErr w:type="spellEnd"/>
      <w:r w:rsidR="005C519E" w:rsidRPr="005F3228">
        <w:rPr>
          <w:rFonts w:ascii="David" w:hAnsi="David" w:cs="David"/>
          <w:sz w:val="24"/>
          <w:szCs w:val="24"/>
          <w:rtl/>
        </w:rPr>
        <w:t>.</w:t>
      </w:r>
      <w:r w:rsidR="007F60CC" w:rsidRPr="005F3228">
        <w:rPr>
          <w:rFonts w:ascii="David" w:hAnsi="David" w:cs="David"/>
          <w:sz w:val="24"/>
          <w:szCs w:val="24"/>
          <w:rtl/>
        </w:rPr>
        <w:t>, בשל העמימות הרבה אותה יצר פסק</w:t>
      </w:r>
      <w:r w:rsidR="0045173F" w:rsidRPr="005F3228">
        <w:rPr>
          <w:rFonts w:ascii="David" w:hAnsi="David" w:cs="David"/>
          <w:sz w:val="24"/>
          <w:szCs w:val="24"/>
          <w:rtl/>
        </w:rPr>
        <w:t xml:space="preserve"> </w:t>
      </w:r>
      <w:r w:rsidR="007F60CC" w:rsidRPr="005F3228">
        <w:rPr>
          <w:rFonts w:ascii="David" w:hAnsi="David" w:cs="David"/>
          <w:sz w:val="24"/>
          <w:szCs w:val="24"/>
          <w:rtl/>
        </w:rPr>
        <w:t xml:space="preserve">הדין. </w:t>
      </w:r>
      <w:r w:rsidRPr="005F3228">
        <w:rPr>
          <w:rFonts w:ascii="David" w:hAnsi="David" w:cs="David"/>
          <w:sz w:val="24"/>
          <w:szCs w:val="24"/>
          <w:rtl/>
        </w:rPr>
        <w:t xml:space="preserve">לעמדת היועץ המשפטי, </w:t>
      </w:r>
      <w:r w:rsidR="007F60CC" w:rsidRPr="005F3228">
        <w:rPr>
          <w:rFonts w:ascii="David" w:hAnsi="David" w:cs="David"/>
          <w:sz w:val="24"/>
          <w:szCs w:val="24"/>
          <w:rtl/>
        </w:rPr>
        <w:t xml:space="preserve">החלתם של דיני עשיית עושר </w:t>
      </w:r>
      <w:r w:rsidR="00DD6561" w:rsidRPr="005F3228">
        <w:rPr>
          <w:rFonts w:ascii="David" w:hAnsi="David" w:cs="David"/>
          <w:sz w:val="24"/>
          <w:szCs w:val="24"/>
          <w:rtl/>
        </w:rPr>
        <w:t>לצד</w:t>
      </w:r>
      <w:r w:rsidR="007F60CC" w:rsidRPr="005F3228">
        <w:rPr>
          <w:rFonts w:ascii="David" w:hAnsi="David" w:cs="David"/>
          <w:sz w:val="24"/>
          <w:szCs w:val="24"/>
          <w:rtl/>
        </w:rPr>
        <w:t xml:space="preserve"> דיני הקניין הרוחני עלולה</w:t>
      </w:r>
      <w:r w:rsidRPr="005F3228">
        <w:rPr>
          <w:rFonts w:ascii="David" w:hAnsi="David" w:cs="David"/>
          <w:sz w:val="24"/>
          <w:szCs w:val="24"/>
          <w:rtl/>
        </w:rPr>
        <w:t xml:space="preserve"> </w:t>
      </w:r>
      <w:r w:rsidR="00E81276" w:rsidRPr="005F3228">
        <w:rPr>
          <w:rFonts w:ascii="David" w:hAnsi="David" w:cs="David" w:hint="cs"/>
          <w:sz w:val="24"/>
          <w:szCs w:val="24"/>
          <w:rtl/>
        </w:rPr>
        <w:t>"לגרור תקלות חמורות" ו</w:t>
      </w:r>
      <w:r w:rsidR="007F60CC" w:rsidRPr="005F3228">
        <w:rPr>
          <w:rFonts w:ascii="David" w:hAnsi="David" w:cs="David"/>
          <w:sz w:val="24"/>
          <w:szCs w:val="24"/>
          <w:rtl/>
        </w:rPr>
        <w:t>לחתו</w:t>
      </w:r>
      <w:r w:rsidRPr="005F3228">
        <w:rPr>
          <w:rFonts w:ascii="David" w:hAnsi="David" w:cs="David"/>
          <w:sz w:val="24"/>
          <w:szCs w:val="24"/>
          <w:rtl/>
        </w:rPr>
        <w:t>ר</w:t>
      </w:r>
      <w:r w:rsidR="007F60CC" w:rsidRPr="005F3228">
        <w:rPr>
          <w:rFonts w:ascii="David" w:hAnsi="David" w:cs="David"/>
          <w:sz w:val="24"/>
          <w:szCs w:val="24"/>
          <w:rtl/>
        </w:rPr>
        <w:t xml:space="preserve"> תחת תכליותיהם ויסודותיהם של דיני</w:t>
      </w:r>
      <w:r w:rsidR="00DD6561" w:rsidRPr="005F3228">
        <w:rPr>
          <w:rFonts w:ascii="David" w:hAnsi="David" w:cs="David"/>
          <w:sz w:val="24"/>
          <w:szCs w:val="24"/>
          <w:rtl/>
        </w:rPr>
        <w:t>ם אלה</w:t>
      </w:r>
      <w:r w:rsidR="007F60CC" w:rsidRPr="005F3228">
        <w:rPr>
          <w:rFonts w:ascii="David" w:hAnsi="David" w:cs="David"/>
          <w:sz w:val="24"/>
          <w:szCs w:val="24"/>
          <w:rtl/>
        </w:rPr>
        <w:t>.</w:t>
      </w:r>
      <w:r w:rsidRPr="005F3228">
        <w:rPr>
          <w:rStyle w:val="FootnoteReference"/>
          <w:rFonts w:ascii="David" w:hAnsi="David" w:cs="David"/>
          <w:sz w:val="24"/>
          <w:szCs w:val="24"/>
          <w:rtl/>
        </w:rPr>
        <w:footnoteReference w:id="55"/>
      </w:r>
      <w:r w:rsidR="007F60CC" w:rsidRPr="005F3228">
        <w:rPr>
          <w:rFonts w:ascii="David" w:hAnsi="David" w:cs="David"/>
          <w:sz w:val="24"/>
          <w:szCs w:val="24"/>
          <w:rtl/>
        </w:rPr>
        <w:t xml:space="preserve"> </w:t>
      </w:r>
      <w:r w:rsidR="00DD6561" w:rsidRPr="005F3228">
        <w:rPr>
          <w:rFonts w:ascii="David" w:hAnsi="David" w:cs="David"/>
          <w:sz w:val="24"/>
          <w:szCs w:val="24"/>
          <w:rtl/>
        </w:rPr>
        <w:t xml:space="preserve">בסופו של דבר, קבע </w:t>
      </w:r>
      <w:r w:rsidRPr="005F3228">
        <w:rPr>
          <w:rFonts w:ascii="David" w:hAnsi="David" w:cs="David"/>
          <w:sz w:val="24"/>
          <w:szCs w:val="24"/>
          <w:rtl/>
        </w:rPr>
        <w:t>ב</w:t>
      </w:r>
      <w:r w:rsidR="00ED12E2" w:rsidRPr="005F3228">
        <w:rPr>
          <w:rFonts w:ascii="David" w:hAnsi="David" w:cs="David"/>
          <w:sz w:val="24"/>
          <w:szCs w:val="24"/>
          <w:rtl/>
        </w:rPr>
        <w:t xml:space="preserve">ית המשפט </w:t>
      </w:r>
      <w:r w:rsidRPr="005F3228">
        <w:rPr>
          <w:rFonts w:ascii="David" w:hAnsi="David" w:cs="David"/>
          <w:sz w:val="24"/>
          <w:szCs w:val="24"/>
          <w:rtl/>
        </w:rPr>
        <w:t xml:space="preserve">העליון </w:t>
      </w:r>
      <w:r w:rsidR="00ED12E2" w:rsidRPr="005F3228">
        <w:rPr>
          <w:rFonts w:ascii="David" w:hAnsi="David" w:cs="David"/>
          <w:sz w:val="24"/>
          <w:szCs w:val="24"/>
          <w:rtl/>
        </w:rPr>
        <w:t>כי בנסיבות העניין</w:t>
      </w:r>
      <w:r w:rsidRPr="005F3228">
        <w:rPr>
          <w:rFonts w:ascii="David" w:hAnsi="David" w:cs="David"/>
          <w:sz w:val="24"/>
          <w:szCs w:val="24"/>
          <w:rtl/>
        </w:rPr>
        <w:t xml:space="preserve"> הספציפי</w:t>
      </w:r>
      <w:r w:rsidR="00ED12E2" w:rsidRPr="005F3228">
        <w:rPr>
          <w:rFonts w:ascii="David" w:hAnsi="David" w:cs="David"/>
          <w:sz w:val="24"/>
          <w:szCs w:val="24"/>
          <w:rtl/>
        </w:rPr>
        <w:t xml:space="preserve">, אין מקום למתן פיצוי מכוח חוק עשיית עושר, </w:t>
      </w:r>
      <w:r w:rsidR="00DD6561" w:rsidRPr="005F3228">
        <w:rPr>
          <w:rFonts w:ascii="David" w:hAnsi="David" w:cs="David"/>
          <w:sz w:val="24"/>
          <w:szCs w:val="24"/>
          <w:rtl/>
        </w:rPr>
        <w:t xml:space="preserve">אך </w:t>
      </w:r>
      <w:r w:rsidR="00ED12E2" w:rsidRPr="005F3228">
        <w:rPr>
          <w:rFonts w:ascii="David" w:hAnsi="David" w:cs="David"/>
          <w:sz w:val="24"/>
          <w:szCs w:val="24"/>
          <w:rtl/>
        </w:rPr>
        <w:t xml:space="preserve">השאיר </w:t>
      </w:r>
      <w:proofErr w:type="spellStart"/>
      <w:r w:rsidR="00ED12E2" w:rsidRPr="005F3228">
        <w:rPr>
          <w:rFonts w:ascii="David" w:hAnsi="David" w:cs="David"/>
          <w:sz w:val="24"/>
          <w:szCs w:val="24"/>
          <w:rtl/>
        </w:rPr>
        <w:t>בצריך</w:t>
      </w:r>
      <w:proofErr w:type="spellEnd"/>
      <w:r w:rsidR="00ED12E2" w:rsidRPr="005F3228">
        <w:rPr>
          <w:rFonts w:ascii="David" w:hAnsi="David" w:cs="David"/>
          <w:sz w:val="24"/>
          <w:szCs w:val="24"/>
          <w:rtl/>
        </w:rPr>
        <w:t xml:space="preserve"> עיון את ההתייחסות העקרונית להלכת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bookmarkStart w:id="33" w:name="_Ref27988792"/>
      <w:r w:rsidR="00E1288B" w:rsidRPr="005F3228">
        <w:rPr>
          <w:rStyle w:val="FootnoteReference"/>
          <w:rFonts w:ascii="David" w:hAnsi="David" w:cs="David"/>
          <w:sz w:val="24"/>
          <w:szCs w:val="24"/>
          <w:rtl/>
        </w:rPr>
        <w:footnoteReference w:id="56"/>
      </w:r>
      <w:bookmarkEnd w:id="33"/>
    </w:p>
    <w:p w14:paraId="616C1291" w14:textId="371CDDE4" w:rsidR="002F6FED" w:rsidRPr="005F3228" w:rsidRDefault="000320AD" w:rsidP="00DA5D90">
      <w:pPr>
        <w:spacing w:line="300" w:lineRule="exact"/>
        <w:jc w:val="both"/>
        <w:rPr>
          <w:rFonts w:ascii="David" w:hAnsi="David" w:cs="David"/>
          <w:sz w:val="24"/>
          <w:szCs w:val="24"/>
          <w:rtl/>
        </w:rPr>
      </w:pPr>
      <w:r w:rsidRPr="005F3228">
        <w:rPr>
          <w:rFonts w:ascii="David" w:hAnsi="David" w:cs="David"/>
          <w:sz w:val="24"/>
          <w:szCs w:val="24"/>
          <w:rtl/>
        </w:rPr>
        <w:t xml:space="preserve">עמדת היועץ המשפטי בעניין </w:t>
      </w:r>
      <w:r w:rsidRPr="005F3228">
        <w:rPr>
          <w:rFonts w:ascii="David" w:hAnsi="David" w:cs="David"/>
          <w:b/>
          <w:bCs/>
          <w:sz w:val="24"/>
          <w:szCs w:val="24"/>
        </w:rPr>
        <w:t>Fisher</w:t>
      </w:r>
      <w:r w:rsidR="00C2799F" w:rsidRPr="005F3228">
        <w:rPr>
          <w:rFonts w:ascii="David" w:hAnsi="David" w:cs="David"/>
          <w:b/>
          <w:bCs/>
          <w:sz w:val="24"/>
          <w:szCs w:val="24"/>
        </w:rPr>
        <w:t xml:space="preserve"> </w:t>
      </w:r>
      <w:r w:rsidR="00512D6F" w:rsidRPr="005F3228">
        <w:rPr>
          <w:rFonts w:ascii="David" w:hAnsi="David" w:cs="David" w:hint="cs"/>
          <w:b/>
          <w:bCs/>
          <w:sz w:val="24"/>
          <w:szCs w:val="24"/>
        </w:rPr>
        <w:t>P</w:t>
      </w:r>
      <w:r w:rsidRPr="005F3228">
        <w:rPr>
          <w:rFonts w:ascii="David" w:hAnsi="David" w:cs="David"/>
          <w:b/>
          <w:bCs/>
          <w:sz w:val="24"/>
          <w:szCs w:val="24"/>
        </w:rPr>
        <w:t>rice</w:t>
      </w:r>
      <w:r w:rsidRPr="005F3228">
        <w:rPr>
          <w:rFonts w:ascii="David" w:hAnsi="David" w:cs="David"/>
          <w:sz w:val="24"/>
          <w:szCs w:val="24"/>
          <w:rtl/>
        </w:rPr>
        <w:t>,</w:t>
      </w:r>
      <w:r w:rsidR="00E1288B" w:rsidRPr="005F3228">
        <w:rPr>
          <w:rFonts w:ascii="David" w:hAnsi="David" w:cs="David"/>
          <w:sz w:val="24"/>
          <w:szCs w:val="24"/>
          <w:rtl/>
        </w:rPr>
        <w:t xml:space="preserve"> </w:t>
      </w:r>
      <w:r w:rsidRPr="005F3228">
        <w:rPr>
          <w:rFonts w:ascii="David" w:hAnsi="David" w:cs="David"/>
          <w:sz w:val="24"/>
          <w:szCs w:val="24"/>
          <w:rtl/>
        </w:rPr>
        <w:t>כמו יוזמות החקיקה</w:t>
      </w:r>
      <w:r w:rsidR="00DD6561" w:rsidRPr="005F3228">
        <w:rPr>
          <w:rFonts w:ascii="David" w:hAnsi="David" w:cs="David"/>
          <w:sz w:val="24"/>
          <w:szCs w:val="24"/>
          <w:rtl/>
        </w:rPr>
        <w:t xml:space="preserve"> האמורות בתחום הפטנטים והעיצובים</w:t>
      </w:r>
      <w:r w:rsidRPr="005F3228">
        <w:rPr>
          <w:rFonts w:ascii="David" w:hAnsi="David" w:cs="David"/>
          <w:sz w:val="24"/>
          <w:szCs w:val="24"/>
          <w:rtl/>
        </w:rPr>
        <w:t xml:space="preserve">, </w:t>
      </w:r>
      <w:r w:rsidR="00E23F91" w:rsidRPr="005F3228">
        <w:rPr>
          <w:rFonts w:ascii="David" w:hAnsi="David" w:cs="David"/>
          <w:sz w:val="24"/>
          <w:szCs w:val="24"/>
          <w:rtl/>
        </w:rPr>
        <w:t xml:space="preserve">מעידות </w:t>
      </w:r>
      <w:r w:rsidRPr="005F3228">
        <w:rPr>
          <w:rFonts w:ascii="David" w:hAnsi="David" w:cs="David"/>
          <w:sz w:val="24"/>
          <w:szCs w:val="24"/>
          <w:rtl/>
        </w:rPr>
        <w:t>על כך שהחשש מפריצת הגבולות ש</w:t>
      </w:r>
      <w:r w:rsidR="007F2EFC" w:rsidRPr="005F3228">
        <w:rPr>
          <w:rFonts w:ascii="David" w:hAnsi="David" w:cs="David" w:hint="cs"/>
          <w:sz w:val="24"/>
          <w:szCs w:val="24"/>
          <w:rtl/>
        </w:rPr>
        <w:t xml:space="preserve">התעורר בעקבות </w:t>
      </w:r>
      <w:r w:rsidRPr="005F3228">
        <w:rPr>
          <w:rFonts w:ascii="David" w:hAnsi="David" w:cs="David"/>
          <w:sz w:val="24"/>
          <w:szCs w:val="24"/>
          <w:rtl/>
        </w:rPr>
        <w:t>פסק</w:t>
      </w:r>
      <w:r w:rsidR="0045173F" w:rsidRPr="005F3228">
        <w:rPr>
          <w:rFonts w:ascii="David" w:hAnsi="David" w:cs="David"/>
          <w:sz w:val="24"/>
          <w:szCs w:val="24"/>
          <w:rtl/>
        </w:rPr>
        <w:t xml:space="preserve"> </w:t>
      </w:r>
      <w:r w:rsidRPr="005F3228">
        <w:rPr>
          <w:rFonts w:ascii="David" w:hAnsi="David" w:cs="David"/>
          <w:sz w:val="24"/>
          <w:szCs w:val="24"/>
          <w:rtl/>
        </w:rPr>
        <w:t xml:space="preserve">הדין בעניין </w:t>
      </w:r>
      <w:proofErr w:type="spellStart"/>
      <w:r w:rsidR="00F5516E" w:rsidRPr="005F3228">
        <w:rPr>
          <w:rFonts w:ascii="David" w:hAnsi="David" w:cs="David"/>
          <w:sz w:val="24"/>
          <w:szCs w:val="24"/>
          <w:rtl/>
        </w:rPr>
        <w:t>א.ש.י.ר</w:t>
      </w:r>
      <w:proofErr w:type="spellEnd"/>
      <w:r w:rsidR="00505EE1" w:rsidRPr="005F3228">
        <w:rPr>
          <w:rFonts w:ascii="David" w:hAnsi="David" w:cs="David"/>
          <w:sz w:val="24"/>
          <w:szCs w:val="24"/>
          <w:rtl/>
        </w:rPr>
        <w:t>.</w:t>
      </w:r>
      <w:r w:rsidRPr="005F3228">
        <w:rPr>
          <w:rFonts w:ascii="David" w:hAnsi="David" w:cs="David"/>
          <w:sz w:val="24"/>
          <w:szCs w:val="24"/>
          <w:rtl/>
        </w:rPr>
        <w:t xml:space="preserve"> נותר בעינו</w:t>
      </w:r>
      <w:r w:rsidR="00E23F91" w:rsidRPr="005F3228">
        <w:rPr>
          <w:rFonts w:ascii="David" w:hAnsi="David" w:cs="David"/>
          <w:sz w:val="24"/>
          <w:szCs w:val="24"/>
          <w:rtl/>
        </w:rPr>
        <w:t xml:space="preserve"> לאורך השנים</w:t>
      </w:r>
      <w:r w:rsidRPr="005F3228">
        <w:rPr>
          <w:rFonts w:ascii="David" w:hAnsi="David" w:cs="David"/>
          <w:sz w:val="24"/>
          <w:szCs w:val="24"/>
          <w:rtl/>
        </w:rPr>
        <w:t>.</w:t>
      </w:r>
      <w:r w:rsidR="00A83C21" w:rsidRPr="005F3228">
        <w:rPr>
          <w:rFonts w:ascii="David" w:hAnsi="David" w:cs="David"/>
          <w:sz w:val="24"/>
          <w:szCs w:val="24"/>
          <w:rtl/>
        </w:rPr>
        <w:t xml:space="preserve"> </w:t>
      </w:r>
      <w:r w:rsidR="00BD13B1" w:rsidRPr="005F3228">
        <w:rPr>
          <w:rFonts w:ascii="David" w:hAnsi="David" w:cs="David" w:hint="cs"/>
          <w:sz w:val="24"/>
          <w:szCs w:val="24"/>
          <w:rtl/>
        </w:rPr>
        <w:t xml:space="preserve">יש לציין, עם זאת, </w:t>
      </w:r>
      <w:r w:rsidR="00693C4F" w:rsidRPr="005F3228">
        <w:rPr>
          <w:rFonts w:ascii="David" w:hAnsi="David" w:cs="David" w:hint="cs"/>
          <w:sz w:val="24"/>
          <w:szCs w:val="24"/>
          <w:rtl/>
        </w:rPr>
        <w:t>כי היו גם מי שעמדו</w:t>
      </w:r>
      <w:r w:rsidR="00A07201" w:rsidRPr="005F3228">
        <w:rPr>
          <w:rFonts w:ascii="David" w:hAnsi="David" w:cs="David" w:hint="cs"/>
          <w:sz w:val="24"/>
          <w:szCs w:val="24"/>
          <w:rtl/>
        </w:rPr>
        <w:t xml:space="preserve"> על כך </w:t>
      </w:r>
      <w:r w:rsidR="00693C4F" w:rsidRPr="005F3228">
        <w:rPr>
          <w:rFonts w:ascii="David" w:hAnsi="David" w:cs="David" w:hint="cs"/>
          <w:sz w:val="24"/>
          <w:szCs w:val="24"/>
          <w:rtl/>
        </w:rPr>
        <w:t>ש</w:t>
      </w:r>
      <w:r w:rsidR="00A07201" w:rsidRPr="005F3228">
        <w:rPr>
          <w:rFonts w:ascii="David" w:hAnsi="David" w:cs="David" w:hint="cs"/>
          <w:sz w:val="24"/>
          <w:szCs w:val="24"/>
          <w:rtl/>
        </w:rPr>
        <w:t xml:space="preserve">החשש מההשלכות הדרמטיות שצפו מבקרי הלכת </w:t>
      </w:r>
      <w:proofErr w:type="spellStart"/>
      <w:r w:rsidR="00A07201" w:rsidRPr="005F3228">
        <w:rPr>
          <w:rFonts w:ascii="David" w:hAnsi="David" w:cs="David" w:hint="cs"/>
          <w:sz w:val="24"/>
          <w:szCs w:val="24"/>
          <w:rtl/>
        </w:rPr>
        <w:t>א.ש.י.ר</w:t>
      </w:r>
      <w:proofErr w:type="spellEnd"/>
      <w:r w:rsidR="00A07201" w:rsidRPr="005F3228">
        <w:rPr>
          <w:rFonts w:ascii="David" w:hAnsi="David" w:cs="David" w:hint="cs"/>
          <w:sz w:val="24"/>
          <w:szCs w:val="24"/>
          <w:rtl/>
        </w:rPr>
        <w:t xml:space="preserve">. </w:t>
      </w:r>
      <w:r w:rsidR="00693C4F" w:rsidRPr="005F3228">
        <w:rPr>
          <w:rFonts w:ascii="David" w:hAnsi="David" w:cs="David" w:hint="cs"/>
          <w:sz w:val="24"/>
          <w:szCs w:val="24"/>
          <w:rtl/>
        </w:rPr>
        <w:t>לא ה</w:t>
      </w:r>
      <w:r w:rsidR="00A07201" w:rsidRPr="005F3228">
        <w:rPr>
          <w:rFonts w:ascii="David" w:hAnsi="David" w:cs="David" w:hint="cs"/>
          <w:sz w:val="24"/>
          <w:szCs w:val="24"/>
          <w:rtl/>
        </w:rPr>
        <w:t>תממש בפועל</w:t>
      </w:r>
      <w:r w:rsidR="006849CE" w:rsidRPr="005F3228">
        <w:rPr>
          <w:rFonts w:ascii="David" w:hAnsi="David" w:cs="David" w:hint="cs"/>
          <w:sz w:val="24"/>
          <w:szCs w:val="24"/>
          <w:rtl/>
        </w:rPr>
        <w:t>.</w:t>
      </w:r>
      <w:bookmarkStart w:id="34" w:name="_Ref39132397"/>
      <w:r w:rsidR="006849CE" w:rsidRPr="005F3228">
        <w:rPr>
          <w:rStyle w:val="FootnoteReference"/>
          <w:rFonts w:ascii="David" w:hAnsi="David" w:cs="David"/>
          <w:sz w:val="24"/>
          <w:szCs w:val="24"/>
          <w:rtl/>
        </w:rPr>
        <w:footnoteReference w:id="57"/>
      </w:r>
      <w:bookmarkEnd w:id="34"/>
      <w:r w:rsidR="00A07201" w:rsidRPr="005F3228">
        <w:rPr>
          <w:rFonts w:ascii="David" w:hAnsi="David" w:cs="David" w:hint="cs"/>
          <w:sz w:val="24"/>
          <w:szCs w:val="24"/>
          <w:rtl/>
        </w:rPr>
        <w:t xml:space="preserve"> </w:t>
      </w:r>
      <w:r w:rsidR="00FC3BE9" w:rsidRPr="005F3228">
        <w:rPr>
          <w:rFonts w:ascii="David" w:hAnsi="David" w:cs="David"/>
          <w:sz w:val="24"/>
          <w:szCs w:val="24"/>
          <w:rtl/>
        </w:rPr>
        <w:t>מכל מקום, הוויכוח אודו</w:t>
      </w:r>
      <w:r w:rsidR="00A83C21" w:rsidRPr="005F3228">
        <w:rPr>
          <w:rFonts w:ascii="David" w:hAnsi="David" w:cs="David"/>
          <w:sz w:val="24"/>
          <w:szCs w:val="24"/>
          <w:rtl/>
        </w:rPr>
        <w:t>ת</w:t>
      </w:r>
      <w:r w:rsidR="00FC3BE9" w:rsidRPr="005F3228">
        <w:rPr>
          <w:rFonts w:ascii="David" w:hAnsi="David" w:cs="David"/>
          <w:sz w:val="24"/>
          <w:szCs w:val="24"/>
          <w:rtl/>
        </w:rPr>
        <w:t xml:space="preserve"> </w:t>
      </w:r>
      <w:r w:rsidR="00DD6561" w:rsidRPr="005F3228">
        <w:rPr>
          <w:rFonts w:ascii="David" w:hAnsi="David" w:cs="David"/>
          <w:sz w:val="24"/>
          <w:szCs w:val="24"/>
          <w:rtl/>
        </w:rPr>
        <w:t>ההלכה</w:t>
      </w:r>
      <w:r w:rsidR="00622DFD" w:rsidRPr="005F3228">
        <w:rPr>
          <w:rFonts w:ascii="David" w:hAnsi="David" w:cs="David" w:hint="cs"/>
          <w:sz w:val="24"/>
          <w:szCs w:val="24"/>
          <w:rtl/>
        </w:rPr>
        <w:t xml:space="preserve">, </w:t>
      </w:r>
      <w:proofErr w:type="spellStart"/>
      <w:r w:rsidR="00622DFD" w:rsidRPr="005F3228">
        <w:rPr>
          <w:rFonts w:ascii="David" w:hAnsi="David" w:cs="David" w:hint="cs"/>
          <w:sz w:val="24"/>
          <w:szCs w:val="24"/>
          <w:rtl/>
        </w:rPr>
        <w:t>רציותה</w:t>
      </w:r>
      <w:proofErr w:type="spellEnd"/>
      <w:r w:rsidR="00622DFD" w:rsidRPr="005F3228">
        <w:rPr>
          <w:rFonts w:ascii="David" w:hAnsi="David" w:cs="David" w:hint="cs"/>
          <w:sz w:val="24"/>
          <w:szCs w:val="24"/>
          <w:rtl/>
        </w:rPr>
        <w:t xml:space="preserve"> והשפעותיה,</w:t>
      </w:r>
      <w:r w:rsidR="00A83C21" w:rsidRPr="005F3228">
        <w:rPr>
          <w:rFonts w:ascii="David" w:hAnsi="David" w:cs="David"/>
          <w:sz w:val="24"/>
          <w:szCs w:val="24"/>
          <w:rtl/>
        </w:rPr>
        <w:t xml:space="preserve"> </w:t>
      </w:r>
      <w:r w:rsidR="00622DFD" w:rsidRPr="005F3228">
        <w:rPr>
          <w:rFonts w:ascii="David" w:hAnsi="David" w:cs="David" w:hint="cs"/>
          <w:sz w:val="24"/>
          <w:szCs w:val="24"/>
          <w:rtl/>
        </w:rPr>
        <w:t xml:space="preserve">לא </w:t>
      </w:r>
      <w:r w:rsidR="00A83C21" w:rsidRPr="005F3228">
        <w:rPr>
          <w:rFonts w:ascii="David" w:hAnsi="David" w:cs="David"/>
          <w:sz w:val="24"/>
          <w:szCs w:val="24"/>
          <w:rtl/>
        </w:rPr>
        <w:t xml:space="preserve">התבסס עד היום על </w:t>
      </w:r>
      <w:r w:rsidR="00622DFD" w:rsidRPr="005F3228">
        <w:rPr>
          <w:rFonts w:ascii="David" w:hAnsi="David" w:cs="David" w:hint="cs"/>
          <w:sz w:val="24"/>
          <w:szCs w:val="24"/>
          <w:rtl/>
        </w:rPr>
        <w:t xml:space="preserve">מחקר אמפירי מקיף, אלא נשען </w:t>
      </w:r>
      <w:r w:rsidR="00512D6F" w:rsidRPr="005F3228">
        <w:rPr>
          <w:rFonts w:ascii="David" w:hAnsi="David" w:cs="David" w:hint="cs"/>
          <w:sz w:val="24"/>
          <w:szCs w:val="24"/>
          <w:rtl/>
        </w:rPr>
        <w:t>על</w:t>
      </w:r>
      <w:r w:rsidR="00622DFD" w:rsidRPr="005F3228">
        <w:rPr>
          <w:rFonts w:ascii="David" w:hAnsi="David" w:cs="David" w:hint="cs"/>
          <w:sz w:val="24"/>
          <w:szCs w:val="24"/>
          <w:rtl/>
        </w:rPr>
        <w:t xml:space="preserve"> </w:t>
      </w:r>
      <w:r w:rsidR="00A83C21" w:rsidRPr="005F3228">
        <w:rPr>
          <w:rFonts w:ascii="David" w:hAnsi="David" w:cs="David"/>
          <w:sz w:val="24"/>
          <w:szCs w:val="24"/>
          <w:rtl/>
        </w:rPr>
        <w:t xml:space="preserve">טיעונים תיאורטיים </w:t>
      </w:r>
      <w:r w:rsidR="00EE16CE" w:rsidRPr="005F3228">
        <w:rPr>
          <w:rFonts w:ascii="David" w:hAnsi="David" w:cs="David"/>
          <w:sz w:val="24"/>
          <w:szCs w:val="24"/>
          <w:rtl/>
        </w:rPr>
        <w:t>ו</w:t>
      </w:r>
      <w:r w:rsidR="00EE16CE" w:rsidRPr="005F3228">
        <w:rPr>
          <w:rFonts w:ascii="David" w:hAnsi="David" w:cs="David" w:hint="cs"/>
          <w:sz w:val="24"/>
          <w:szCs w:val="24"/>
          <w:rtl/>
        </w:rPr>
        <w:t>תצפיות</w:t>
      </w:r>
      <w:r w:rsidR="00EE16CE" w:rsidRPr="005F3228">
        <w:rPr>
          <w:rFonts w:ascii="David" w:hAnsi="David" w:cs="David"/>
          <w:sz w:val="24"/>
          <w:szCs w:val="24"/>
          <w:rtl/>
        </w:rPr>
        <w:t xml:space="preserve"> </w:t>
      </w:r>
      <w:proofErr w:type="spellStart"/>
      <w:r w:rsidR="00FC3BE9" w:rsidRPr="005F3228">
        <w:rPr>
          <w:rFonts w:ascii="David" w:hAnsi="David" w:cs="David"/>
          <w:sz w:val="24"/>
          <w:szCs w:val="24"/>
          <w:rtl/>
        </w:rPr>
        <w:t>אנקדטולי</w:t>
      </w:r>
      <w:r w:rsidR="00EE16CE" w:rsidRPr="005F3228">
        <w:rPr>
          <w:rFonts w:ascii="David" w:hAnsi="David" w:cs="David" w:hint="cs"/>
          <w:sz w:val="24"/>
          <w:szCs w:val="24"/>
          <w:rtl/>
        </w:rPr>
        <w:t>ות</w:t>
      </w:r>
      <w:proofErr w:type="spellEnd"/>
      <w:r w:rsidR="00FC3BE9" w:rsidRPr="005F3228">
        <w:rPr>
          <w:rFonts w:ascii="David" w:hAnsi="David" w:cs="David"/>
          <w:sz w:val="24"/>
          <w:szCs w:val="24"/>
          <w:rtl/>
        </w:rPr>
        <w:t>.</w:t>
      </w:r>
      <w:r w:rsidR="00A83C21" w:rsidRPr="005F3228">
        <w:rPr>
          <w:rFonts w:ascii="David" w:hAnsi="David" w:cs="David"/>
          <w:sz w:val="24"/>
          <w:szCs w:val="24"/>
          <w:rtl/>
        </w:rPr>
        <w:t xml:space="preserve"> </w:t>
      </w:r>
      <w:r w:rsidR="007C351F" w:rsidRPr="005F3228">
        <w:rPr>
          <w:rFonts w:ascii="David" w:hAnsi="David" w:cs="David"/>
          <w:sz w:val="24"/>
          <w:szCs w:val="24"/>
          <w:rtl/>
        </w:rPr>
        <w:t>ב</w:t>
      </w:r>
      <w:r w:rsidR="00FC3BE9" w:rsidRPr="005F3228">
        <w:rPr>
          <w:rFonts w:ascii="David" w:hAnsi="David" w:cs="David"/>
          <w:sz w:val="24"/>
          <w:szCs w:val="24"/>
          <w:rtl/>
        </w:rPr>
        <w:t xml:space="preserve">חלוף עשרים שנה </w:t>
      </w:r>
      <w:r w:rsidR="00F43A20" w:rsidRPr="005F3228">
        <w:rPr>
          <w:rFonts w:ascii="David" w:hAnsi="David" w:cs="David" w:hint="cs"/>
          <w:sz w:val="24"/>
          <w:szCs w:val="24"/>
          <w:rtl/>
        </w:rPr>
        <w:t xml:space="preserve">מתבקש </w:t>
      </w:r>
      <w:r w:rsidR="007C351F" w:rsidRPr="005F3228">
        <w:rPr>
          <w:rFonts w:ascii="David" w:hAnsi="David" w:cs="David"/>
          <w:sz w:val="24"/>
          <w:szCs w:val="24"/>
          <w:rtl/>
        </w:rPr>
        <w:t xml:space="preserve">להעריך </w:t>
      </w:r>
      <w:r w:rsidR="00FC3BE9" w:rsidRPr="005F3228">
        <w:rPr>
          <w:rFonts w:ascii="David" w:hAnsi="David" w:cs="David"/>
          <w:sz w:val="24"/>
          <w:szCs w:val="24"/>
          <w:rtl/>
        </w:rPr>
        <w:t xml:space="preserve">את השפעתה של הלכת </w:t>
      </w:r>
      <w:proofErr w:type="spellStart"/>
      <w:r w:rsidR="00F5516E" w:rsidRPr="005F3228">
        <w:rPr>
          <w:rFonts w:ascii="David" w:hAnsi="David" w:cs="David"/>
          <w:sz w:val="24"/>
          <w:szCs w:val="24"/>
          <w:rtl/>
        </w:rPr>
        <w:lastRenderedPageBreak/>
        <w:t>א.ש.י.ר</w:t>
      </w:r>
      <w:proofErr w:type="spellEnd"/>
      <w:r w:rsidR="00505EE1" w:rsidRPr="005F3228">
        <w:rPr>
          <w:rFonts w:ascii="David" w:hAnsi="David" w:cs="David"/>
          <w:sz w:val="24"/>
          <w:szCs w:val="24"/>
          <w:rtl/>
        </w:rPr>
        <w:t>.</w:t>
      </w:r>
      <w:r w:rsidR="00FC3BE9" w:rsidRPr="005F3228">
        <w:rPr>
          <w:rFonts w:ascii="David" w:hAnsi="David" w:cs="David"/>
          <w:sz w:val="24"/>
          <w:szCs w:val="24"/>
          <w:rtl/>
        </w:rPr>
        <w:t xml:space="preserve"> על </w:t>
      </w:r>
      <w:r w:rsidR="007C351F" w:rsidRPr="005F3228">
        <w:rPr>
          <w:rFonts w:ascii="David" w:hAnsi="David" w:cs="David"/>
          <w:sz w:val="24"/>
          <w:szCs w:val="24"/>
          <w:rtl/>
        </w:rPr>
        <w:t>תחום הקניין הרוחני</w:t>
      </w:r>
      <w:r w:rsidR="007F2EFC" w:rsidRPr="005F3228">
        <w:rPr>
          <w:rFonts w:ascii="David" w:hAnsi="David" w:cs="David" w:hint="cs"/>
          <w:sz w:val="24"/>
          <w:szCs w:val="24"/>
          <w:rtl/>
        </w:rPr>
        <w:t xml:space="preserve"> באמצעות מחקר אמפירי שיטתי</w:t>
      </w:r>
      <w:r w:rsidR="00EF7214" w:rsidRPr="005F3228">
        <w:rPr>
          <w:rFonts w:ascii="David" w:hAnsi="David" w:cs="David" w:hint="cs"/>
          <w:sz w:val="24"/>
          <w:szCs w:val="24"/>
          <w:rtl/>
        </w:rPr>
        <w:t>.</w:t>
      </w:r>
      <w:r w:rsidR="00FC3BE9" w:rsidRPr="005F3228">
        <w:rPr>
          <w:rFonts w:ascii="David" w:hAnsi="David" w:cs="David"/>
          <w:sz w:val="24"/>
          <w:szCs w:val="24"/>
          <w:rtl/>
        </w:rPr>
        <w:t xml:space="preserve"> </w:t>
      </w:r>
      <w:r w:rsidR="00622DFD" w:rsidRPr="005F3228">
        <w:rPr>
          <w:rFonts w:ascii="David" w:hAnsi="David" w:cs="David" w:hint="cs"/>
          <w:sz w:val="24"/>
          <w:szCs w:val="24"/>
          <w:rtl/>
        </w:rPr>
        <w:t>החלק הבא מתאר</w:t>
      </w:r>
      <w:r w:rsidR="00C2799F" w:rsidRPr="005F3228">
        <w:rPr>
          <w:rFonts w:ascii="David" w:hAnsi="David" w:cs="David"/>
          <w:sz w:val="24"/>
          <w:szCs w:val="24"/>
          <w:rtl/>
        </w:rPr>
        <w:t xml:space="preserve"> את האופן שבו ערכנו בחינה זו ואת עיקרי הממצאים שלנו.</w:t>
      </w:r>
      <w:r w:rsidR="00FC3BE9" w:rsidRPr="005F3228">
        <w:rPr>
          <w:rFonts w:ascii="David" w:hAnsi="David" w:cs="David"/>
          <w:sz w:val="24"/>
          <w:szCs w:val="24"/>
          <w:rtl/>
        </w:rPr>
        <w:t xml:space="preserve"> </w:t>
      </w:r>
    </w:p>
    <w:p w14:paraId="0A113333" w14:textId="77777777" w:rsidR="00F767B8" w:rsidRPr="005F3228" w:rsidRDefault="00F215A5" w:rsidP="00477693">
      <w:pPr>
        <w:pStyle w:val="Heading1"/>
        <w:spacing w:line="300" w:lineRule="exact"/>
        <w:rPr>
          <w:rFonts w:ascii="David" w:hAnsi="David" w:cs="David"/>
          <w:sz w:val="24"/>
          <w:szCs w:val="24"/>
          <w:rtl/>
        </w:rPr>
      </w:pPr>
      <w:bookmarkStart w:id="35" w:name="_Toc28175979"/>
      <w:r w:rsidRPr="005F3228">
        <w:rPr>
          <w:rFonts w:ascii="David" w:hAnsi="David" w:cs="David"/>
          <w:sz w:val="24"/>
          <w:szCs w:val="24"/>
          <w:rtl/>
        </w:rPr>
        <w:t xml:space="preserve">ב. </w:t>
      </w:r>
      <w:bookmarkStart w:id="36" w:name="_Toc28070287"/>
      <w:r w:rsidR="00512D6F" w:rsidRPr="005F3228">
        <w:rPr>
          <w:rFonts w:ascii="David" w:hAnsi="David" w:cs="David" w:hint="cs"/>
          <w:sz w:val="24"/>
          <w:szCs w:val="24"/>
          <w:rtl/>
        </w:rPr>
        <w:t>"</w:t>
      </w:r>
      <w:r w:rsidR="00F767B8" w:rsidRPr="005F3228">
        <w:rPr>
          <w:rFonts w:ascii="David" w:hAnsi="David" w:cs="David" w:hint="cs"/>
          <w:sz w:val="24"/>
          <w:szCs w:val="24"/>
          <w:rtl/>
        </w:rPr>
        <w:t>אחרי עשרים שנה"</w:t>
      </w:r>
      <w:r w:rsidR="00375BA9" w:rsidRPr="005F3228">
        <w:rPr>
          <w:rFonts w:ascii="David" w:hAnsi="David" w:cs="David" w:hint="cs"/>
          <w:sz w:val="24"/>
          <w:szCs w:val="24"/>
          <w:rtl/>
        </w:rPr>
        <w:t>:</w:t>
      </w:r>
      <w:r w:rsidR="00F767B8" w:rsidRPr="005F3228">
        <w:rPr>
          <w:rFonts w:ascii="David" w:hAnsi="David" w:cs="David" w:hint="cs"/>
          <w:sz w:val="24"/>
          <w:szCs w:val="24"/>
          <w:rtl/>
        </w:rPr>
        <w:t xml:space="preserve"> מחקר אמפירי</w:t>
      </w:r>
      <w:bookmarkEnd w:id="35"/>
      <w:r w:rsidR="00477693" w:rsidRPr="005F3228">
        <w:rPr>
          <w:rFonts w:ascii="David" w:hAnsi="David" w:cs="David" w:hint="cs"/>
          <w:sz w:val="24"/>
          <w:szCs w:val="24"/>
          <w:rtl/>
        </w:rPr>
        <w:t xml:space="preserve"> כמותי</w:t>
      </w:r>
    </w:p>
    <w:p w14:paraId="50E5DBEE" w14:textId="77777777" w:rsidR="00644293" w:rsidRPr="005F3228" w:rsidRDefault="00F767B8" w:rsidP="00F767B8">
      <w:pPr>
        <w:pStyle w:val="Heading1"/>
        <w:spacing w:line="300" w:lineRule="exact"/>
        <w:rPr>
          <w:rFonts w:ascii="David" w:hAnsi="David" w:cs="David"/>
          <w:sz w:val="24"/>
          <w:szCs w:val="24"/>
          <w:u w:val="none"/>
          <w:rtl/>
        </w:rPr>
      </w:pPr>
      <w:bookmarkStart w:id="37" w:name="_Toc28175980"/>
      <w:r w:rsidRPr="005F3228">
        <w:rPr>
          <w:rFonts w:ascii="David" w:hAnsi="David" w:cs="David" w:hint="cs"/>
          <w:sz w:val="24"/>
          <w:szCs w:val="24"/>
          <w:u w:val="none"/>
          <w:rtl/>
        </w:rPr>
        <w:t>1. מתודולוגיה</w:t>
      </w:r>
      <w:bookmarkEnd w:id="37"/>
      <w:r w:rsidR="00F215A5" w:rsidRPr="005F3228">
        <w:rPr>
          <w:rFonts w:ascii="David" w:hAnsi="David" w:cs="David"/>
          <w:sz w:val="24"/>
          <w:szCs w:val="24"/>
          <w:u w:val="none"/>
          <w:rtl/>
        </w:rPr>
        <w:t xml:space="preserve"> </w:t>
      </w:r>
      <w:bookmarkEnd w:id="36"/>
    </w:p>
    <w:p w14:paraId="1D332057" w14:textId="77777777" w:rsidR="00F215A5" w:rsidRPr="005F3228" w:rsidRDefault="00F215A5" w:rsidP="003F5D3D">
      <w:pPr>
        <w:spacing w:line="300" w:lineRule="exact"/>
        <w:jc w:val="both"/>
        <w:rPr>
          <w:rFonts w:ascii="David" w:hAnsi="David" w:cs="David"/>
          <w:sz w:val="24"/>
          <w:szCs w:val="24"/>
          <w:rtl/>
        </w:rPr>
      </w:pPr>
      <w:r w:rsidRPr="005F3228">
        <w:rPr>
          <w:rFonts w:ascii="David" w:hAnsi="David" w:cs="David"/>
          <w:sz w:val="24"/>
          <w:szCs w:val="24"/>
          <w:rtl/>
        </w:rPr>
        <w:t xml:space="preserve">לצורך המחקר, </w:t>
      </w:r>
      <w:r w:rsidRPr="005F3228">
        <w:rPr>
          <w:rFonts w:ascii="David" w:hAnsi="David" w:cs="David" w:hint="cs"/>
          <w:sz w:val="24"/>
          <w:szCs w:val="24"/>
          <w:rtl/>
        </w:rPr>
        <w:t>בנינו מאגר מידע הכולל את כל</w:t>
      </w:r>
      <w:r w:rsidRPr="005F3228">
        <w:rPr>
          <w:rFonts w:ascii="David" w:hAnsi="David" w:cs="David"/>
          <w:sz w:val="24"/>
          <w:szCs w:val="24"/>
          <w:rtl/>
        </w:rPr>
        <w:t xml:space="preserve"> פסקי הדין</w:t>
      </w:r>
      <w:r w:rsidR="00F43A20" w:rsidRPr="005F3228">
        <w:rPr>
          <w:rFonts w:ascii="David" w:hAnsi="David" w:cs="David" w:hint="cs"/>
          <w:sz w:val="24"/>
          <w:szCs w:val="24"/>
          <w:rtl/>
        </w:rPr>
        <w:t xml:space="preserve"> וההחלטות</w:t>
      </w:r>
      <w:r w:rsidR="00A8014C" w:rsidRPr="005F3228">
        <w:rPr>
          <w:rFonts w:ascii="David" w:hAnsi="David" w:cs="David" w:hint="cs"/>
          <w:sz w:val="24"/>
          <w:szCs w:val="24"/>
          <w:rtl/>
        </w:rPr>
        <w:t xml:space="preserve"> בצווים זמניים</w:t>
      </w:r>
      <w:r w:rsidRPr="005F3228">
        <w:rPr>
          <w:rFonts w:ascii="David" w:hAnsi="David" w:cs="David"/>
          <w:sz w:val="24"/>
          <w:szCs w:val="24"/>
          <w:rtl/>
        </w:rPr>
        <w:t xml:space="preserve"> שניתנו בבתי המשפט המחוזיים ובבית המשפט העליון בישראל בעשרים השנים שחלפו מאז מתן פסק הדין בעניין </w:t>
      </w:r>
      <w:proofErr w:type="spellStart"/>
      <w:r w:rsidRPr="005F3228">
        <w:rPr>
          <w:rFonts w:ascii="David" w:hAnsi="David" w:cs="David"/>
          <w:sz w:val="24"/>
          <w:szCs w:val="24"/>
          <w:rtl/>
        </w:rPr>
        <w:t>א.ש.י.ר</w:t>
      </w:r>
      <w:proofErr w:type="spellEnd"/>
      <w:r w:rsidRPr="005F3228">
        <w:rPr>
          <w:rFonts w:ascii="David" w:hAnsi="David" w:cs="David"/>
          <w:sz w:val="24"/>
          <w:szCs w:val="24"/>
          <w:rtl/>
        </w:rPr>
        <w:t xml:space="preserve">., בתביעות </w:t>
      </w:r>
      <w:r w:rsidR="00FE2BF2" w:rsidRPr="005F3228">
        <w:rPr>
          <w:rFonts w:ascii="David" w:hAnsi="David" w:cs="David" w:hint="cs"/>
          <w:sz w:val="24"/>
          <w:szCs w:val="24"/>
          <w:rtl/>
        </w:rPr>
        <w:t>שכללו</w:t>
      </w:r>
      <w:r w:rsidRPr="005F3228">
        <w:rPr>
          <w:rFonts w:ascii="David" w:hAnsi="David" w:cs="David" w:hint="cs"/>
          <w:sz w:val="24"/>
          <w:szCs w:val="24"/>
          <w:rtl/>
        </w:rPr>
        <w:t xml:space="preserve"> </w:t>
      </w:r>
      <w:r w:rsidRPr="005F3228">
        <w:rPr>
          <w:rFonts w:ascii="David" w:hAnsi="David" w:cs="David"/>
          <w:sz w:val="24"/>
          <w:szCs w:val="24"/>
          <w:rtl/>
        </w:rPr>
        <w:t xml:space="preserve">טענה </w:t>
      </w:r>
      <w:r w:rsidR="00FE2BF2" w:rsidRPr="005F3228">
        <w:rPr>
          <w:rFonts w:ascii="David" w:hAnsi="David" w:cs="David" w:hint="cs"/>
          <w:sz w:val="24"/>
          <w:szCs w:val="24"/>
          <w:rtl/>
        </w:rPr>
        <w:t xml:space="preserve">או דיון בעילת </w:t>
      </w:r>
      <w:r w:rsidR="003F5D3D" w:rsidRPr="005F3228">
        <w:rPr>
          <w:rFonts w:ascii="David" w:hAnsi="David" w:cs="David" w:hint="cs"/>
          <w:sz w:val="24"/>
          <w:szCs w:val="24"/>
          <w:rtl/>
        </w:rPr>
        <w:t xml:space="preserve">קניין רוחני לצד עילת </w:t>
      </w:r>
      <w:r w:rsidRPr="005F3228">
        <w:rPr>
          <w:rFonts w:ascii="David" w:hAnsi="David" w:cs="David"/>
          <w:sz w:val="24"/>
          <w:szCs w:val="24"/>
          <w:rtl/>
        </w:rPr>
        <w:t>עשיית עושר ולא במשפט.</w:t>
      </w:r>
      <w:r w:rsidRPr="005F3228">
        <w:rPr>
          <w:rStyle w:val="FootnoteReference"/>
          <w:rFonts w:ascii="David" w:hAnsi="David" w:cs="David"/>
          <w:sz w:val="24"/>
          <w:szCs w:val="24"/>
          <w:rtl/>
        </w:rPr>
        <w:footnoteReference w:id="58"/>
      </w:r>
      <w:r w:rsidRPr="005F3228">
        <w:rPr>
          <w:rFonts w:ascii="David" w:hAnsi="David" w:cs="David" w:hint="cs"/>
          <w:sz w:val="24"/>
          <w:szCs w:val="24"/>
          <w:rtl/>
        </w:rPr>
        <w:t xml:space="preserve"> המאגר כולל את פסקי הדין </w:t>
      </w:r>
      <w:r w:rsidR="00A8014C" w:rsidRPr="005F3228">
        <w:rPr>
          <w:rFonts w:ascii="David" w:hAnsi="David" w:cs="David" w:hint="cs"/>
          <w:sz w:val="24"/>
          <w:szCs w:val="24"/>
          <w:rtl/>
        </w:rPr>
        <w:t xml:space="preserve">וההחלטות </w:t>
      </w:r>
      <w:r w:rsidRPr="005F3228">
        <w:rPr>
          <w:rFonts w:ascii="David" w:hAnsi="David" w:cs="David" w:hint="cs"/>
          <w:sz w:val="24"/>
          <w:szCs w:val="24"/>
          <w:rtl/>
        </w:rPr>
        <w:t>שניתנו בתקופה שהחל מ</w:t>
      </w:r>
      <w:r w:rsidRPr="005F3228">
        <w:rPr>
          <w:rFonts w:ascii="David" w:hAnsi="David" w:cs="David"/>
          <w:sz w:val="24"/>
          <w:szCs w:val="24"/>
          <w:rtl/>
        </w:rPr>
        <w:t xml:space="preserve">מועד מתן פסק הדין בעניין </w:t>
      </w:r>
      <w:proofErr w:type="spellStart"/>
      <w:r w:rsidRPr="005F3228">
        <w:rPr>
          <w:rFonts w:ascii="David" w:hAnsi="David" w:cs="David"/>
          <w:sz w:val="24"/>
          <w:szCs w:val="24"/>
          <w:rtl/>
        </w:rPr>
        <w:t>א.ש.י.ר</w:t>
      </w:r>
      <w:proofErr w:type="spellEnd"/>
      <w:r w:rsidRPr="005F3228">
        <w:rPr>
          <w:rFonts w:ascii="David" w:hAnsi="David" w:cs="David"/>
          <w:sz w:val="24"/>
          <w:szCs w:val="24"/>
          <w:rtl/>
        </w:rPr>
        <w:t xml:space="preserve">. (23 </w:t>
      </w:r>
      <w:r w:rsidR="00FE2BF2" w:rsidRPr="005F3228">
        <w:rPr>
          <w:rFonts w:ascii="David" w:hAnsi="David" w:cs="David" w:hint="cs"/>
          <w:sz w:val="24"/>
          <w:szCs w:val="24"/>
          <w:rtl/>
        </w:rPr>
        <w:t>ב</w:t>
      </w:r>
      <w:r w:rsidRPr="005F3228">
        <w:rPr>
          <w:rFonts w:ascii="David" w:hAnsi="David" w:cs="David"/>
          <w:sz w:val="24"/>
          <w:szCs w:val="24"/>
          <w:rtl/>
        </w:rPr>
        <w:t>ספטמבר, 1998) ו</w:t>
      </w:r>
      <w:r w:rsidR="00FE2BF2" w:rsidRPr="005F3228">
        <w:rPr>
          <w:rFonts w:ascii="David" w:hAnsi="David" w:cs="David" w:hint="cs"/>
          <w:sz w:val="24"/>
          <w:szCs w:val="24"/>
          <w:rtl/>
        </w:rPr>
        <w:t>עד לתאריך ה</w:t>
      </w:r>
      <w:r w:rsidRPr="005F3228">
        <w:rPr>
          <w:rFonts w:ascii="David" w:hAnsi="David" w:cs="David"/>
          <w:sz w:val="24"/>
          <w:szCs w:val="24"/>
          <w:rtl/>
        </w:rPr>
        <w:t xml:space="preserve">-31 </w:t>
      </w:r>
      <w:r w:rsidR="00FE2BF2" w:rsidRPr="005F3228">
        <w:rPr>
          <w:rFonts w:ascii="David" w:hAnsi="David" w:cs="David" w:hint="cs"/>
          <w:sz w:val="24"/>
          <w:szCs w:val="24"/>
          <w:rtl/>
        </w:rPr>
        <w:t>ב</w:t>
      </w:r>
      <w:r w:rsidRPr="005F3228">
        <w:rPr>
          <w:rFonts w:ascii="David" w:hAnsi="David" w:cs="David"/>
          <w:sz w:val="24"/>
          <w:szCs w:val="24"/>
          <w:rtl/>
        </w:rPr>
        <w:t xml:space="preserve">דצמבר, 2018. </w:t>
      </w:r>
    </w:p>
    <w:p w14:paraId="4D6C6C24" w14:textId="77777777" w:rsidR="00F215A5" w:rsidRPr="005F3228" w:rsidRDefault="00F215A5" w:rsidP="00506239">
      <w:pPr>
        <w:spacing w:line="300" w:lineRule="exact"/>
        <w:jc w:val="both"/>
        <w:rPr>
          <w:rFonts w:ascii="David" w:hAnsi="David" w:cs="David"/>
          <w:sz w:val="24"/>
          <w:szCs w:val="24"/>
          <w:rtl/>
        </w:rPr>
      </w:pPr>
      <w:r w:rsidRPr="005F3228">
        <w:rPr>
          <w:rFonts w:ascii="David" w:hAnsi="David" w:cs="David"/>
          <w:sz w:val="24"/>
          <w:szCs w:val="24"/>
          <w:rtl/>
        </w:rPr>
        <w:t xml:space="preserve">לשם איתור הפסיקה הרלוונטית עשינו שימוש במאגר </w:t>
      </w:r>
      <w:r w:rsidRPr="005F3228">
        <w:rPr>
          <w:rFonts w:ascii="David" w:hAnsi="David" w:cs="David" w:hint="cs"/>
          <w:sz w:val="24"/>
          <w:szCs w:val="24"/>
          <w:rtl/>
        </w:rPr>
        <w:t>"</w:t>
      </w:r>
      <w:r w:rsidRPr="005F3228">
        <w:rPr>
          <w:rFonts w:ascii="David" w:hAnsi="David" w:cs="David"/>
          <w:sz w:val="24"/>
          <w:szCs w:val="24"/>
          <w:rtl/>
        </w:rPr>
        <w:t>נבו</w:t>
      </w:r>
      <w:r w:rsidRPr="005F3228">
        <w:rPr>
          <w:rFonts w:ascii="David" w:hAnsi="David" w:cs="David" w:hint="cs"/>
          <w:sz w:val="24"/>
          <w:szCs w:val="24"/>
          <w:rtl/>
        </w:rPr>
        <w:t>"</w:t>
      </w:r>
      <w:r w:rsidR="00C535B2" w:rsidRPr="005F3228">
        <w:rPr>
          <w:rFonts w:ascii="David" w:hAnsi="David" w:cs="David" w:hint="cs"/>
          <w:sz w:val="24"/>
          <w:szCs w:val="24"/>
          <w:rtl/>
        </w:rPr>
        <w:t>.</w:t>
      </w:r>
      <w:r w:rsidR="00C535B2" w:rsidRPr="005F3228">
        <w:rPr>
          <w:rStyle w:val="FootnoteReference"/>
          <w:rFonts w:ascii="David" w:hAnsi="David" w:cs="David"/>
          <w:sz w:val="24"/>
          <w:szCs w:val="24"/>
          <w:rtl/>
        </w:rPr>
        <w:footnoteReference w:id="59"/>
      </w:r>
      <w:r w:rsidR="00C535B2" w:rsidRPr="005F3228">
        <w:rPr>
          <w:rFonts w:ascii="David" w:hAnsi="David" w:cs="David" w:hint="cs"/>
          <w:sz w:val="24"/>
          <w:szCs w:val="24"/>
          <w:rtl/>
        </w:rPr>
        <w:t xml:space="preserve"> </w:t>
      </w:r>
      <w:r w:rsidRPr="005F3228">
        <w:rPr>
          <w:rFonts w:ascii="David" w:hAnsi="David" w:cs="David"/>
          <w:sz w:val="24"/>
          <w:szCs w:val="24"/>
          <w:rtl/>
        </w:rPr>
        <w:t xml:space="preserve">בסופו של דבר, </w:t>
      </w:r>
      <w:r w:rsidR="00E67539" w:rsidRPr="005F3228">
        <w:rPr>
          <w:rFonts w:ascii="David" w:hAnsi="David" w:cs="David" w:hint="cs"/>
          <w:sz w:val="24"/>
          <w:szCs w:val="24"/>
          <w:rtl/>
        </w:rPr>
        <w:t xml:space="preserve">לאחר הסרת </w:t>
      </w:r>
      <w:r w:rsidR="00E67539" w:rsidRPr="005F3228">
        <w:rPr>
          <w:rFonts w:ascii="David" w:hAnsi="David" w:cs="David"/>
          <w:sz w:val="24"/>
          <w:szCs w:val="24"/>
          <w:rtl/>
        </w:rPr>
        <w:t>פריטים שאינם רלוונטיים</w:t>
      </w:r>
      <w:r w:rsidR="00E67539" w:rsidRPr="005F3228">
        <w:rPr>
          <w:rFonts w:ascii="David" w:hAnsi="David" w:cs="David" w:hint="cs"/>
          <w:sz w:val="24"/>
          <w:szCs w:val="24"/>
          <w:rtl/>
        </w:rPr>
        <w:t xml:space="preserve"> לנשוא הבדיקה</w:t>
      </w:r>
      <w:r w:rsidR="00CD7DB4" w:rsidRPr="005F3228">
        <w:rPr>
          <w:rFonts w:ascii="David" w:hAnsi="David" w:cs="David" w:hint="cs"/>
          <w:sz w:val="24"/>
          <w:szCs w:val="24"/>
          <w:rtl/>
        </w:rPr>
        <w:t>,</w:t>
      </w:r>
      <w:r w:rsidR="00E67539" w:rsidRPr="005F3228">
        <w:rPr>
          <w:rStyle w:val="FootnoteReference"/>
          <w:rFonts w:ascii="David" w:hAnsi="David" w:cs="David"/>
          <w:sz w:val="24"/>
          <w:szCs w:val="24"/>
          <w:rtl/>
        </w:rPr>
        <w:footnoteReference w:id="60"/>
      </w:r>
      <w:r w:rsidR="00E67539" w:rsidRPr="005F3228">
        <w:rPr>
          <w:rFonts w:ascii="David" w:hAnsi="David" w:cs="David"/>
          <w:sz w:val="24"/>
          <w:szCs w:val="24"/>
          <w:rtl/>
        </w:rPr>
        <w:t xml:space="preserve"> </w:t>
      </w:r>
      <w:r w:rsidRPr="005F3228">
        <w:rPr>
          <w:rFonts w:ascii="David" w:hAnsi="David" w:cs="David" w:hint="cs"/>
          <w:sz w:val="24"/>
          <w:szCs w:val="24"/>
          <w:rtl/>
        </w:rPr>
        <w:t>נכללו</w:t>
      </w:r>
      <w:r w:rsidRPr="005F3228">
        <w:rPr>
          <w:rFonts w:ascii="David" w:hAnsi="David" w:cs="David"/>
          <w:sz w:val="24"/>
          <w:szCs w:val="24"/>
          <w:rtl/>
        </w:rPr>
        <w:t xml:space="preserve"> במאגר </w:t>
      </w:r>
      <w:r w:rsidR="00C006BD" w:rsidRPr="005F3228">
        <w:rPr>
          <w:rFonts w:ascii="David" w:hAnsi="David" w:cs="David" w:hint="cs"/>
          <w:sz w:val="24"/>
          <w:szCs w:val="24"/>
          <w:rtl/>
        </w:rPr>
        <w:t>430</w:t>
      </w:r>
      <w:r w:rsidR="00D5394A" w:rsidRPr="005F3228">
        <w:rPr>
          <w:rFonts w:ascii="David" w:hAnsi="David" w:cs="David"/>
          <w:sz w:val="24"/>
          <w:szCs w:val="24"/>
          <w:rtl/>
        </w:rPr>
        <w:t xml:space="preserve"> </w:t>
      </w:r>
      <w:r w:rsidRPr="005F3228">
        <w:rPr>
          <w:rFonts w:ascii="David" w:hAnsi="David" w:cs="David"/>
          <w:sz w:val="24"/>
          <w:szCs w:val="24"/>
          <w:rtl/>
        </w:rPr>
        <w:t xml:space="preserve">פסקי דין </w:t>
      </w:r>
      <w:r w:rsidR="00A8014C" w:rsidRPr="005F3228">
        <w:rPr>
          <w:rFonts w:ascii="David" w:hAnsi="David" w:cs="David" w:hint="cs"/>
          <w:sz w:val="24"/>
          <w:szCs w:val="24"/>
          <w:rtl/>
        </w:rPr>
        <w:t>והחלטות</w:t>
      </w:r>
      <w:r w:rsidR="00512D6F" w:rsidRPr="005F3228">
        <w:rPr>
          <w:rFonts w:ascii="David" w:hAnsi="David" w:cs="David" w:hint="cs"/>
          <w:sz w:val="24"/>
          <w:szCs w:val="24"/>
          <w:rtl/>
        </w:rPr>
        <w:t>.</w:t>
      </w:r>
    </w:p>
    <w:p w14:paraId="537D864E" w14:textId="77777777" w:rsidR="00F215A5" w:rsidRPr="005F3228" w:rsidRDefault="00F215A5" w:rsidP="0079593F">
      <w:pPr>
        <w:spacing w:line="300" w:lineRule="exact"/>
        <w:jc w:val="both"/>
        <w:rPr>
          <w:rFonts w:ascii="David" w:hAnsi="David" w:cs="David"/>
          <w:sz w:val="24"/>
          <w:szCs w:val="24"/>
          <w:rtl/>
        </w:rPr>
      </w:pPr>
      <w:r w:rsidRPr="005F3228">
        <w:rPr>
          <w:rFonts w:ascii="David" w:hAnsi="David" w:cs="David"/>
          <w:sz w:val="24"/>
          <w:szCs w:val="24"/>
          <w:rtl/>
        </w:rPr>
        <w:t>לצד פסקי דין, כללנו במאגר גם החלטות ביניים שהכריעו בבקשה למתן צו מניעה זמני</w:t>
      </w:r>
      <w:r w:rsidR="00DF6764" w:rsidRPr="005F3228">
        <w:rPr>
          <w:rFonts w:ascii="David" w:hAnsi="David" w:cs="David" w:hint="cs"/>
          <w:sz w:val="24"/>
          <w:szCs w:val="24"/>
          <w:rtl/>
        </w:rPr>
        <w:t xml:space="preserve"> וכללו דיון בעילות התביעה</w:t>
      </w:r>
      <w:r w:rsidRPr="005F3228">
        <w:rPr>
          <w:rFonts w:ascii="David" w:hAnsi="David" w:cs="David"/>
          <w:sz w:val="24"/>
          <w:szCs w:val="24"/>
          <w:rtl/>
        </w:rPr>
        <w:t xml:space="preserve">. </w:t>
      </w:r>
      <w:r w:rsidRPr="005F3228">
        <w:rPr>
          <w:rFonts w:ascii="David" w:hAnsi="David" w:cs="David" w:hint="cs"/>
          <w:sz w:val="24"/>
          <w:szCs w:val="24"/>
          <w:rtl/>
        </w:rPr>
        <w:t xml:space="preserve">המאגר כולל </w:t>
      </w:r>
      <w:r w:rsidR="00C24587" w:rsidRPr="005F3228">
        <w:rPr>
          <w:rFonts w:ascii="David" w:hAnsi="David" w:cs="David"/>
          <w:sz w:val="24"/>
          <w:szCs w:val="24"/>
          <w:rtl/>
        </w:rPr>
        <w:t>1</w:t>
      </w:r>
      <w:r w:rsidR="008A0840" w:rsidRPr="005F3228">
        <w:rPr>
          <w:rFonts w:ascii="David" w:hAnsi="David" w:cs="David" w:hint="cs"/>
          <w:sz w:val="24"/>
          <w:szCs w:val="24"/>
          <w:rtl/>
        </w:rPr>
        <w:t>18</w:t>
      </w:r>
      <w:r w:rsidR="00C24587" w:rsidRPr="005F3228">
        <w:rPr>
          <w:rFonts w:ascii="David" w:hAnsi="David" w:cs="David"/>
          <w:sz w:val="24"/>
          <w:szCs w:val="24"/>
          <w:rtl/>
        </w:rPr>
        <w:t xml:space="preserve"> </w:t>
      </w:r>
      <w:r w:rsidRPr="005F3228">
        <w:rPr>
          <w:rFonts w:ascii="David" w:hAnsi="David" w:cs="David"/>
          <w:sz w:val="24"/>
          <w:szCs w:val="24"/>
          <w:rtl/>
        </w:rPr>
        <w:t xml:space="preserve">החלטות </w:t>
      </w:r>
      <w:r w:rsidRPr="005F3228">
        <w:rPr>
          <w:rFonts w:ascii="David" w:hAnsi="David" w:cs="David" w:hint="cs"/>
          <w:sz w:val="24"/>
          <w:szCs w:val="24"/>
          <w:rtl/>
        </w:rPr>
        <w:t xml:space="preserve">כאלה, </w:t>
      </w:r>
      <w:r w:rsidRPr="005F3228">
        <w:rPr>
          <w:rFonts w:ascii="David" w:hAnsi="David" w:cs="David"/>
          <w:sz w:val="24"/>
          <w:szCs w:val="24"/>
          <w:rtl/>
        </w:rPr>
        <w:t>לצד</w:t>
      </w:r>
      <w:r w:rsidR="00C24587" w:rsidRPr="005F3228">
        <w:rPr>
          <w:rFonts w:ascii="David" w:hAnsi="David" w:cs="David"/>
          <w:sz w:val="24"/>
          <w:szCs w:val="24"/>
          <w:rtl/>
        </w:rPr>
        <w:t xml:space="preserve"> </w:t>
      </w:r>
      <w:r w:rsidR="008A0840" w:rsidRPr="005F3228">
        <w:rPr>
          <w:rFonts w:ascii="David" w:hAnsi="David" w:cs="David" w:hint="cs"/>
          <w:sz w:val="24"/>
          <w:szCs w:val="24"/>
          <w:rtl/>
        </w:rPr>
        <w:t>312</w:t>
      </w:r>
      <w:r w:rsidR="003E211A" w:rsidRPr="005F3228">
        <w:rPr>
          <w:rFonts w:ascii="David" w:hAnsi="David" w:cs="David" w:hint="cs"/>
          <w:sz w:val="24"/>
          <w:szCs w:val="24"/>
          <w:rtl/>
        </w:rPr>
        <w:t xml:space="preserve"> </w:t>
      </w:r>
      <w:r w:rsidRPr="005F3228">
        <w:rPr>
          <w:rFonts w:ascii="David" w:hAnsi="David" w:cs="David"/>
          <w:sz w:val="24"/>
          <w:szCs w:val="24"/>
          <w:rtl/>
        </w:rPr>
        <w:t xml:space="preserve">פסקי דין. לא כללנו במאגר החלטות ביניים אחרות, לרבות החלטות בנוגע לעיכוב ביצוע, פסקי דין משלימים ביחס </w:t>
      </w:r>
      <w:proofErr w:type="spellStart"/>
      <w:r w:rsidRPr="005F3228">
        <w:rPr>
          <w:rFonts w:ascii="David" w:hAnsi="David" w:cs="David"/>
          <w:sz w:val="24"/>
          <w:szCs w:val="24"/>
          <w:rtl/>
        </w:rPr>
        <w:t>לסעדים</w:t>
      </w:r>
      <w:proofErr w:type="spellEnd"/>
      <w:r w:rsidRPr="005F3228">
        <w:rPr>
          <w:rFonts w:ascii="David" w:hAnsi="David" w:cs="David"/>
          <w:sz w:val="24"/>
          <w:szCs w:val="24"/>
          <w:rtl/>
        </w:rPr>
        <w:t xml:space="preserve"> וכיו"ב. הבחירה </w:t>
      </w:r>
      <w:r w:rsidR="00DF6764" w:rsidRPr="005F3228">
        <w:rPr>
          <w:rFonts w:ascii="David" w:hAnsi="David" w:cs="David" w:hint="cs"/>
          <w:sz w:val="24"/>
          <w:szCs w:val="24"/>
          <w:rtl/>
        </w:rPr>
        <w:t>לכלול החלטות אלה</w:t>
      </w:r>
      <w:r w:rsidRPr="005F3228">
        <w:rPr>
          <w:rFonts w:ascii="David" w:hAnsi="David" w:cs="David"/>
          <w:sz w:val="24"/>
          <w:szCs w:val="24"/>
          <w:rtl/>
        </w:rPr>
        <w:t xml:space="preserve"> </w:t>
      </w:r>
      <w:r w:rsidR="00DF6764" w:rsidRPr="005F3228">
        <w:rPr>
          <w:rFonts w:ascii="David" w:hAnsi="David" w:cs="David" w:hint="cs"/>
          <w:sz w:val="24"/>
          <w:szCs w:val="24"/>
          <w:rtl/>
        </w:rPr>
        <w:t>ב</w:t>
      </w:r>
      <w:r w:rsidRPr="005F3228">
        <w:rPr>
          <w:rFonts w:ascii="David" w:hAnsi="David" w:cs="David"/>
          <w:sz w:val="24"/>
          <w:szCs w:val="24"/>
          <w:rtl/>
        </w:rPr>
        <w:t>מחקר זה, נובעת</w:t>
      </w:r>
      <w:r w:rsidR="00A8014C" w:rsidRPr="005F3228">
        <w:rPr>
          <w:rFonts w:ascii="David" w:hAnsi="David" w:cs="David" w:hint="cs"/>
          <w:sz w:val="24"/>
          <w:szCs w:val="24"/>
          <w:rtl/>
        </w:rPr>
        <w:t xml:space="preserve"> </w:t>
      </w:r>
      <w:r w:rsidRPr="005F3228">
        <w:rPr>
          <w:rFonts w:ascii="David" w:hAnsi="David" w:cs="David"/>
          <w:sz w:val="24"/>
          <w:szCs w:val="24"/>
          <w:rtl/>
        </w:rPr>
        <w:t xml:space="preserve">מן העובדה כי </w:t>
      </w:r>
      <w:r w:rsidR="00701206" w:rsidRPr="005F3228">
        <w:rPr>
          <w:rFonts w:ascii="David" w:hAnsi="David" w:cs="David" w:hint="cs"/>
          <w:sz w:val="24"/>
          <w:szCs w:val="24"/>
          <w:rtl/>
        </w:rPr>
        <w:t>בהחלטות על צווי</w:t>
      </w:r>
      <w:r w:rsidR="005362DE" w:rsidRPr="005F3228">
        <w:rPr>
          <w:rFonts w:ascii="David" w:hAnsi="David" w:cs="David" w:hint="cs"/>
          <w:sz w:val="24"/>
          <w:szCs w:val="24"/>
          <w:rtl/>
        </w:rPr>
        <w:t xml:space="preserve">ם זמניים </w:t>
      </w:r>
      <w:r w:rsidR="00DF6764" w:rsidRPr="005F3228">
        <w:rPr>
          <w:rFonts w:ascii="David" w:hAnsi="David" w:cs="David" w:hint="cs"/>
          <w:sz w:val="24"/>
          <w:szCs w:val="24"/>
          <w:rtl/>
        </w:rPr>
        <w:t xml:space="preserve">בתחום הקניין הרוחני </w:t>
      </w:r>
      <w:r w:rsidRPr="005F3228">
        <w:rPr>
          <w:rFonts w:ascii="David" w:hAnsi="David" w:cs="David"/>
          <w:sz w:val="24"/>
          <w:szCs w:val="24"/>
          <w:rtl/>
        </w:rPr>
        <w:t xml:space="preserve">עילת התביעה נבחנת </w:t>
      </w:r>
      <w:r w:rsidR="00DF6764" w:rsidRPr="005F3228">
        <w:rPr>
          <w:rFonts w:ascii="David" w:hAnsi="David" w:cs="David" w:hint="cs"/>
          <w:sz w:val="24"/>
          <w:szCs w:val="24"/>
          <w:rtl/>
        </w:rPr>
        <w:t>באופן תדיר</w:t>
      </w:r>
      <w:r w:rsidR="005362DE" w:rsidRPr="005F3228">
        <w:rPr>
          <w:rFonts w:ascii="David" w:hAnsi="David" w:cs="David" w:hint="cs"/>
          <w:sz w:val="24"/>
          <w:szCs w:val="24"/>
          <w:rtl/>
        </w:rPr>
        <w:t xml:space="preserve"> לגופו של עניין ברמת פירוט משמעותית,</w:t>
      </w:r>
      <w:r w:rsidR="000D19A0" w:rsidRPr="005F3228">
        <w:rPr>
          <w:rStyle w:val="FootnoteReference"/>
          <w:rFonts w:ascii="David" w:hAnsi="David" w:cs="David"/>
          <w:sz w:val="24"/>
          <w:szCs w:val="24"/>
          <w:rtl/>
        </w:rPr>
        <w:footnoteReference w:id="61"/>
      </w:r>
      <w:r w:rsidRPr="005F3228">
        <w:rPr>
          <w:rFonts w:ascii="David" w:hAnsi="David" w:cs="David"/>
          <w:sz w:val="24"/>
          <w:szCs w:val="24"/>
          <w:rtl/>
        </w:rPr>
        <w:t xml:space="preserve"> בשילוב העובדה כי במקרים רבים בהם ניתנת החלט</w:t>
      </w:r>
      <w:r w:rsidRPr="005F3228">
        <w:rPr>
          <w:rFonts w:ascii="David" w:hAnsi="David" w:cs="David" w:hint="cs"/>
          <w:sz w:val="24"/>
          <w:szCs w:val="24"/>
          <w:rtl/>
        </w:rPr>
        <w:t>ת ביניים</w:t>
      </w:r>
      <w:r w:rsidR="005362DE" w:rsidRPr="005F3228">
        <w:rPr>
          <w:rFonts w:ascii="David" w:hAnsi="David" w:cs="David" w:hint="cs"/>
          <w:sz w:val="24"/>
          <w:szCs w:val="24"/>
          <w:rtl/>
        </w:rPr>
        <w:t>,</w:t>
      </w:r>
      <w:r w:rsidRPr="005F3228">
        <w:rPr>
          <w:rFonts w:ascii="David" w:hAnsi="David" w:cs="David"/>
          <w:sz w:val="24"/>
          <w:szCs w:val="24"/>
          <w:rtl/>
        </w:rPr>
        <w:t xml:space="preserve"> בפרט </w:t>
      </w:r>
      <w:r w:rsidRPr="005F3228">
        <w:rPr>
          <w:rFonts w:ascii="David" w:hAnsi="David" w:cs="David" w:hint="cs"/>
          <w:sz w:val="24"/>
          <w:szCs w:val="24"/>
          <w:rtl/>
        </w:rPr>
        <w:t>ב</w:t>
      </w:r>
      <w:r w:rsidRPr="005F3228">
        <w:rPr>
          <w:rFonts w:ascii="David" w:hAnsi="David" w:cs="David"/>
          <w:sz w:val="24"/>
          <w:szCs w:val="24"/>
          <w:rtl/>
        </w:rPr>
        <w:t>תחום הקניין הרוחני, הדבר מייתר בפועל את הצורך בהמשך הדיון ובמתן פסק-דין.</w:t>
      </w:r>
      <w:r w:rsidR="000D19A0" w:rsidRPr="005F3228">
        <w:rPr>
          <w:rStyle w:val="FootnoteReference"/>
          <w:rFonts w:ascii="David" w:hAnsi="David" w:cs="David"/>
          <w:sz w:val="24"/>
          <w:szCs w:val="24"/>
          <w:rtl/>
        </w:rPr>
        <w:footnoteReference w:id="62"/>
      </w:r>
      <w:r w:rsidRPr="005F3228">
        <w:rPr>
          <w:rFonts w:ascii="David" w:hAnsi="David" w:cs="David"/>
          <w:sz w:val="24"/>
          <w:szCs w:val="24"/>
          <w:rtl/>
        </w:rPr>
        <w:t xml:space="preserve"> </w:t>
      </w:r>
      <w:r w:rsidR="00DF6764" w:rsidRPr="005F3228">
        <w:rPr>
          <w:rFonts w:ascii="David" w:hAnsi="David" w:cs="David" w:hint="cs"/>
          <w:sz w:val="24"/>
          <w:szCs w:val="24"/>
          <w:rtl/>
        </w:rPr>
        <w:t xml:space="preserve">על כן, </w:t>
      </w:r>
      <w:r w:rsidRPr="005F3228">
        <w:rPr>
          <w:rFonts w:ascii="David" w:hAnsi="David" w:cs="David"/>
          <w:sz w:val="24"/>
          <w:szCs w:val="24"/>
          <w:rtl/>
        </w:rPr>
        <w:t xml:space="preserve">הכרעה בבקשה לצו מניעה זמני </w:t>
      </w:r>
      <w:r w:rsidR="004620C0" w:rsidRPr="005F3228">
        <w:rPr>
          <w:rFonts w:ascii="David" w:hAnsi="David" w:cs="David" w:hint="cs"/>
          <w:sz w:val="24"/>
          <w:szCs w:val="24"/>
          <w:rtl/>
        </w:rPr>
        <w:t xml:space="preserve">במקרים שנכללו במאגר </w:t>
      </w:r>
      <w:r w:rsidR="00DF6764" w:rsidRPr="005F3228">
        <w:rPr>
          <w:rFonts w:ascii="David" w:hAnsi="David" w:cs="David" w:hint="cs"/>
          <w:sz w:val="24"/>
          <w:szCs w:val="24"/>
          <w:rtl/>
        </w:rPr>
        <w:t>מהווה</w:t>
      </w:r>
      <w:r w:rsidRPr="005F3228">
        <w:rPr>
          <w:rFonts w:ascii="David" w:hAnsi="David" w:cs="David"/>
          <w:sz w:val="24"/>
          <w:szCs w:val="24"/>
          <w:rtl/>
        </w:rPr>
        <w:t xml:space="preserve"> אינדיקציה משמעותית </w:t>
      </w:r>
      <w:r w:rsidR="00DF6764" w:rsidRPr="005F3228">
        <w:rPr>
          <w:rFonts w:ascii="David" w:hAnsi="David" w:cs="David" w:hint="cs"/>
          <w:sz w:val="24"/>
          <w:szCs w:val="24"/>
          <w:rtl/>
        </w:rPr>
        <w:t xml:space="preserve">לאופן שבו בתי המשפט מיישמים את הלכת </w:t>
      </w:r>
      <w:proofErr w:type="spellStart"/>
      <w:r w:rsidR="00DF6764" w:rsidRPr="005F3228">
        <w:rPr>
          <w:rFonts w:ascii="David" w:hAnsi="David" w:cs="David" w:hint="cs"/>
          <w:sz w:val="24"/>
          <w:szCs w:val="24"/>
          <w:rtl/>
        </w:rPr>
        <w:t>א.ש.י.ר</w:t>
      </w:r>
      <w:proofErr w:type="spellEnd"/>
      <w:r w:rsidR="004620C0" w:rsidRPr="005F3228">
        <w:rPr>
          <w:rFonts w:ascii="David" w:hAnsi="David" w:cs="David" w:hint="cs"/>
          <w:sz w:val="24"/>
          <w:szCs w:val="24"/>
          <w:rtl/>
        </w:rPr>
        <w:t>.</w:t>
      </w:r>
      <w:r w:rsidR="00317101" w:rsidRPr="005F3228">
        <w:rPr>
          <w:rFonts w:ascii="David" w:hAnsi="David" w:cs="David" w:hint="cs"/>
          <w:sz w:val="24"/>
          <w:szCs w:val="24"/>
          <w:rtl/>
        </w:rPr>
        <w:t xml:space="preserve"> יצוין עם זאת, כי </w:t>
      </w:r>
      <w:r w:rsidR="00C90672" w:rsidRPr="005F3228">
        <w:rPr>
          <w:rFonts w:ascii="David" w:hAnsi="David" w:cs="David" w:hint="cs"/>
          <w:sz w:val="24"/>
          <w:szCs w:val="24"/>
          <w:rtl/>
        </w:rPr>
        <w:t xml:space="preserve">גם במקרה בו אין מביאים בחשבון החלטות ביניים אלא פסקי דין בלבד </w:t>
      </w:r>
      <w:r w:rsidR="00D740B4" w:rsidRPr="005F3228">
        <w:rPr>
          <w:rFonts w:ascii="David" w:hAnsi="David" w:cs="David" w:hint="cs"/>
          <w:sz w:val="24"/>
          <w:szCs w:val="24"/>
          <w:rtl/>
        </w:rPr>
        <w:t>לא חל שינוי משמעותי ב</w:t>
      </w:r>
      <w:r w:rsidR="00317101" w:rsidRPr="005F3228">
        <w:rPr>
          <w:rFonts w:ascii="David" w:hAnsi="David" w:cs="David" w:hint="cs"/>
          <w:sz w:val="24"/>
          <w:szCs w:val="24"/>
          <w:rtl/>
        </w:rPr>
        <w:t xml:space="preserve">ממצאים העיקריים שלנו, המתוארים </w:t>
      </w:r>
      <w:r w:rsidR="00767335" w:rsidRPr="005F3228">
        <w:rPr>
          <w:rFonts w:ascii="David" w:hAnsi="David" w:cs="David" w:hint="cs"/>
          <w:sz w:val="24"/>
          <w:szCs w:val="24"/>
          <w:rtl/>
        </w:rPr>
        <w:t>בסעיף 2 להלן.</w:t>
      </w:r>
    </w:p>
    <w:p w14:paraId="11964763" w14:textId="77777777" w:rsidR="00D740B4" w:rsidRPr="005F3228" w:rsidRDefault="00D740B4" w:rsidP="002D2A9D">
      <w:pPr>
        <w:spacing w:line="300" w:lineRule="exact"/>
        <w:jc w:val="both"/>
        <w:rPr>
          <w:rFonts w:ascii="David" w:hAnsi="David" w:cs="David"/>
          <w:sz w:val="24"/>
          <w:szCs w:val="24"/>
          <w:rtl/>
        </w:rPr>
      </w:pPr>
      <w:bookmarkStart w:id="38" w:name="_Hlk28196797"/>
      <w:r w:rsidRPr="005F3228">
        <w:rPr>
          <w:rFonts w:ascii="David" w:hAnsi="David" w:cs="David" w:hint="cs"/>
          <w:sz w:val="24"/>
          <w:szCs w:val="24"/>
          <w:rtl/>
        </w:rPr>
        <w:t xml:space="preserve">עוד יובהר, כי </w:t>
      </w:r>
      <w:r w:rsidRPr="005F3228">
        <w:rPr>
          <w:rFonts w:ascii="David" w:hAnsi="David" w:cs="David"/>
          <w:sz w:val="24"/>
          <w:szCs w:val="24"/>
          <w:rtl/>
        </w:rPr>
        <w:t>במקרים בהם איתרנו הן פסק דין של בית המשפט המחוזי כערכאה דיונית והן פסק דין של בית המשפט העליון כערכאת ערעור, התייחסנו לכל פסק דין כאל פריט עצמאי במאגר</w:t>
      </w:r>
      <w:r w:rsidRPr="005F3228">
        <w:rPr>
          <w:rFonts w:ascii="David" w:hAnsi="David" w:cs="David" w:hint="cs"/>
          <w:sz w:val="24"/>
          <w:szCs w:val="24"/>
          <w:rtl/>
        </w:rPr>
        <w:t xml:space="preserve">, למרות </w:t>
      </w:r>
      <w:r w:rsidRPr="005F3228">
        <w:rPr>
          <w:rFonts w:ascii="David" w:hAnsi="David" w:cs="David"/>
          <w:sz w:val="24"/>
          <w:szCs w:val="24"/>
          <w:rtl/>
        </w:rPr>
        <w:t>שפסק-הדין של הערכאה הדיונית "נבלע" מבחינת תוקפו המעשי בפסק-הדין של ערכאת הערעור</w:t>
      </w:r>
      <w:r w:rsidRPr="005F3228">
        <w:rPr>
          <w:rFonts w:ascii="David" w:hAnsi="David" w:cs="David" w:hint="cs"/>
          <w:sz w:val="24"/>
          <w:szCs w:val="24"/>
          <w:rtl/>
        </w:rPr>
        <w:t>.</w:t>
      </w:r>
      <w:r w:rsidR="009F71ED" w:rsidRPr="005F3228">
        <w:rPr>
          <w:rStyle w:val="FootnoteReference"/>
          <w:rFonts w:ascii="David" w:hAnsi="David" w:cs="David"/>
          <w:sz w:val="24"/>
          <w:szCs w:val="24"/>
          <w:rtl/>
        </w:rPr>
        <w:footnoteReference w:id="63"/>
      </w:r>
      <w:r w:rsidRPr="005F3228">
        <w:rPr>
          <w:rFonts w:ascii="David" w:hAnsi="David" w:cs="David"/>
          <w:sz w:val="24"/>
          <w:szCs w:val="24"/>
          <w:rtl/>
        </w:rPr>
        <w:t xml:space="preserve"> </w:t>
      </w:r>
      <w:r w:rsidRPr="005F3228">
        <w:rPr>
          <w:rFonts w:ascii="David" w:hAnsi="David" w:cs="David" w:hint="cs"/>
          <w:sz w:val="24"/>
          <w:szCs w:val="24"/>
          <w:rtl/>
        </w:rPr>
        <w:t xml:space="preserve">זאת לאור מטרת המחקר העיקרית והיא להתחקות אחר היישום בפועל של הלכת </w:t>
      </w:r>
      <w:proofErr w:type="spellStart"/>
      <w:r w:rsidRPr="005F3228">
        <w:rPr>
          <w:rFonts w:ascii="David" w:hAnsi="David" w:cs="David" w:hint="cs"/>
          <w:sz w:val="24"/>
          <w:szCs w:val="24"/>
          <w:rtl/>
        </w:rPr>
        <w:t>א.ש.י.ר</w:t>
      </w:r>
      <w:proofErr w:type="spellEnd"/>
      <w:r w:rsidRPr="005F3228">
        <w:rPr>
          <w:rFonts w:ascii="David" w:hAnsi="David" w:cs="David" w:hint="cs"/>
          <w:sz w:val="24"/>
          <w:szCs w:val="24"/>
          <w:rtl/>
        </w:rPr>
        <w:t>. בערכאות השונות. יצוי</w:t>
      </w:r>
      <w:r w:rsidR="009F71ED" w:rsidRPr="005F3228">
        <w:rPr>
          <w:rFonts w:ascii="David" w:hAnsi="David" w:cs="David" w:hint="cs"/>
          <w:sz w:val="24"/>
          <w:szCs w:val="24"/>
          <w:rtl/>
        </w:rPr>
        <w:t>ן</w:t>
      </w:r>
      <w:r w:rsidRPr="005F3228">
        <w:rPr>
          <w:rFonts w:ascii="David" w:hAnsi="David" w:cs="David" w:hint="cs"/>
          <w:sz w:val="24"/>
          <w:szCs w:val="24"/>
          <w:rtl/>
        </w:rPr>
        <w:t xml:space="preserve"> כי אף </w:t>
      </w:r>
      <w:r w:rsidR="009F71ED" w:rsidRPr="005F3228">
        <w:rPr>
          <w:rFonts w:ascii="David" w:hAnsi="David" w:cs="David" w:hint="cs"/>
          <w:sz w:val="24"/>
          <w:szCs w:val="24"/>
          <w:rtl/>
        </w:rPr>
        <w:t xml:space="preserve">במקרה זה, בדיקה אלטרנטיבית המתחשבת </w:t>
      </w:r>
      <w:r w:rsidRPr="005F3228">
        <w:rPr>
          <w:rFonts w:ascii="David" w:hAnsi="David" w:cs="David" w:hint="cs"/>
          <w:sz w:val="24"/>
          <w:szCs w:val="24"/>
          <w:rtl/>
        </w:rPr>
        <w:t xml:space="preserve">רק בפסקי הדין שבערעור </w:t>
      </w:r>
      <w:r w:rsidR="009F71ED" w:rsidRPr="005F3228">
        <w:rPr>
          <w:rFonts w:ascii="David" w:hAnsi="David" w:cs="David" w:hint="cs"/>
          <w:sz w:val="24"/>
          <w:szCs w:val="24"/>
          <w:rtl/>
        </w:rPr>
        <w:t>(במקרים בהם הוגש ערעור) אינה גורמת לשינוי מהותי בממצאים.</w:t>
      </w:r>
      <w:r w:rsidR="00186782" w:rsidRPr="005F3228">
        <w:rPr>
          <w:rFonts w:ascii="David" w:hAnsi="David" w:cs="David" w:hint="cs"/>
          <w:sz w:val="24"/>
          <w:szCs w:val="24"/>
          <w:rtl/>
        </w:rPr>
        <w:t xml:space="preserve"> </w:t>
      </w:r>
    </w:p>
    <w:bookmarkEnd w:id="38"/>
    <w:p w14:paraId="4D3D6DC4" w14:textId="77777777" w:rsidR="00B34BC1" w:rsidRPr="005F3228" w:rsidRDefault="002A5226" w:rsidP="00476598">
      <w:pPr>
        <w:spacing w:line="300" w:lineRule="exact"/>
        <w:jc w:val="both"/>
        <w:rPr>
          <w:rFonts w:ascii="David" w:hAnsi="David" w:cs="David"/>
          <w:sz w:val="24"/>
          <w:szCs w:val="24"/>
          <w:rtl/>
        </w:rPr>
      </w:pPr>
      <w:r w:rsidRPr="005F3228">
        <w:rPr>
          <w:rFonts w:ascii="David" w:hAnsi="David" w:cs="David"/>
          <w:sz w:val="24"/>
          <w:szCs w:val="24"/>
          <w:rtl/>
        </w:rPr>
        <w:t xml:space="preserve">את </w:t>
      </w:r>
      <w:r w:rsidR="00A8014C" w:rsidRPr="005F3228">
        <w:rPr>
          <w:rFonts w:ascii="David" w:hAnsi="David" w:cs="David" w:hint="cs"/>
          <w:sz w:val="24"/>
          <w:szCs w:val="24"/>
          <w:rtl/>
        </w:rPr>
        <w:t xml:space="preserve">המקרים </w:t>
      </w:r>
      <w:r w:rsidR="00C90672" w:rsidRPr="005F3228">
        <w:rPr>
          <w:rFonts w:ascii="David" w:hAnsi="David" w:cs="David" w:hint="cs"/>
          <w:sz w:val="24"/>
          <w:szCs w:val="24"/>
          <w:rtl/>
        </w:rPr>
        <w:t>ש</w:t>
      </w:r>
      <w:r w:rsidRPr="005F3228">
        <w:rPr>
          <w:rFonts w:ascii="David" w:hAnsi="David" w:cs="David"/>
          <w:sz w:val="24"/>
          <w:szCs w:val="24"/>
          <w:rtl/>
        </w:rPr>
        <w:t>במאגר קידדנו לפי פרמטרים שונים</w:t>
      </w:r>
      <w:r w:rsidRPr="005F3228">
        <w:rPr>
          <w:rFonts w:ascii="David" w:hAnsi="David" w:cs="David" w:hint="cs"/>
          <w:sz w:val="24"/>
          <w:szCs w:val="24"/>
          <w:rtl/>
        </w:rPr>
        <w:t xml:space="preserve">, אשר המרכזי שבהם </w:t>
      </w:r>
      <w:r w:rsidRPr="005F3228">
        <w:rPr>
          <w:rFonts w:ascii="David" w:hAnsi="David" w:cs="David"/>
          <w:sz w:val="24"/>
          <w:szCs w:val="24"/>
          <w:rtl/>
        </w:rPr>
        <w:t xml:space="preserve">היה עילות התביעה שהתקבלו. </w:t>
      </w:r>
      <w:r w:rsidR="008079CB" w:rsidRPr="005F3228">
        <w:rPr>
          <w:rFonts w:ascii="David" w:hAnsi="David" w:cs="David" w:hint="cs"/>
          <w:sz w:val="24"/>
          <w:szCs w:val="24"/>
          <w:rtl/>
        </w:rPr>
        <w:t>לצורך כך</w:t>
      </w:r>
      <w:r w:rsidRPr="005F3228">
        <w:rPr>
          <w:rFonts w:ascii="David" w:hAnsi="David" w:cs="David"/>
          <w:sz w:val="24"/>
          <w:szCs w:val="24"/>
          <w:rtl/>
        </w:rPr>
        <w:t>, סיווגנו את פסקי הדין במאגר לארבע קטגוריות, לפי החלוקה הבאה:</w:t>
      </w:r>
    </w:p>
    <w:p w14:paraId="48A8D903" w14:textId="77777777" w:rsidR="00B34BC1" w:rsidRPr="005F3228" w:rsidRDefault="002A5226" w:rsidP="00476598">
      <w:pPr>
        <w:spacing w:after="0" w:line="300" w:lineRule="exact"/>
        <w:jc w:val="both"/>
        <w:rPr>
          <w:rFonts w:ascii="David" w:hAnsi="David" w:cs="David"/>
          <w:sz w:val="24"/>
          <w:szCs w:val="24"/>
          <w:rtl/>
        </w:rPr>
      </w:pPr>
      <w:r w:rsidRPr="005F3228">
        <w:rPr>
          <w:rFonts w:ascii="David" w:hAnsi="David" w:cs="David"/>
          <w:sz w:val="24"/>
          <w:szCs w:val="24"/>
          <w:rtl/>
        </w:rPr>
        <w:t xml:space="preserve"> </w:t>
      </w:r>
      <w:r w:rsidR="008079CB" w:rsidRPr="005F3228">
        <w:rPr>
          <w:rFonts w:ascii="David" w:hAnsi="David" w:cs="David" w:hint="cs"/>
          <w:sz w:val="24"/>
          <w:szCs w:val="24"/>
          <w:rtl/>
        </w:rPr>
        <w:t>1) מ</w:t>
      </w:r>
      <w:r w:rsidR="008079CB" w:rsidRPr="005F3228">
        <w:rPr>
          <w:rFonts w:ascii="David" w:hAnsi="David" w:cs="David"/>
          <w:sz w:val="24"/>
          <w:szCs w:val="24"/>
          <w:rtl/>
        </w:rPr>
        <w:t>קרים בהם התקבלו עילות תביעה הן מכוח אחד (או יותר) מענפי הקניין הרוחני והן מכוח דיני עשיית עושר</w:t>
      </w:r>
      <w:r w:rsidR="008079CB" w:rsidRPr="005F3228">
        <w:rPr>
          <w:rFonts w:ascii="David" w:hAnsi="David" w:cs="David" w:hint="cs"/>
          <w:sz w:val="24"/>
          <w:szCs w:val="24"/>
          <w:rtl/>
        </w:rPr>
        <w:t>;</w:t>
      </w:r>
    </w:p>
    <w:p w14:paraId="109A15A5" w14:textId="77777777" w:rsidR="00B34BC1" w:rsidRPr="005F3228" w:rsidRDefault="00BA41A3" w:rsidP="00B34BC1">
      <w:pPr>
        <w:spacing w:after="0" w:line="300" w:lineRule="exact"/>
        <w:jc w:val="both"/>
        <w:rPr>
          <w:rFonts w:ascii="David" w:hAnsi="David" w:cs="David"/>
          <w:sz w:val="24"/>
          <w:szCs w:val="24"/>
          <w:rtl/>
        </w:rPr>
      </w:pPr>
      <w:r w:rsidRPr="005F3228">
        <w:rPr>
          <w:rFonts w:ascii="David" w:hAnsi="David" w:cs="David" w:hint="cs"/>
          <w:sz w:val="24"/>
          <w:szCs w:val="24"/>
          <w:rtl/>
        </w:rPr>
        <w:t xml:space="preserve"> 2)</w:t>
      </w:r>
      <w:r w:rsidRPr="005F3228">
        <w:rPr>
          <w:rFonts w:ascii="David" w:hAnsi="David" w:cs="David"/>
          <w:sz w:val="24"/>
          <w:szCs w:val="24"/>
          <w:rtl/>
        </w:rPr>
        <w:t xml:space="preserve"> מקרים בהם לא התקבלה עילת תביעה בקניין רוחני ולא בעשיית עושר</w:t>
      </w:r>
      <w:r w:rsidRPr="005F3228">
        <w:rPr>
          <w:rFonts w:ascii="David" w:hAnsi="David" w:cs="David" w:hint="cs"/>
          <w:sz w:val="24"/>
          <w:szCs w:val="24"/>
          <w:rtl/>
        </w:rPr>
        <w:t>;</w:t>
      </w:r>
    </w:p>
    <w:p w14:paraId="023D0E59" w14:textId="77777777" w:rsidR="00B34BC1" w:rsidRPr="005F3228" w:rsidRDefault="00BA41A3" w:rsidP="00476598">
      <w:pPr>
        <w:spacing w:after="0" w:line="300" w:lineRule="exact"/>
        <w:jc w:val="both"/>
        <w:rPr>
          <w:rFonts w:ascii="David" w:hAnsi="David" w:cs="David"/>
          <w:sz w:val="24"/>
          <w:szCs w:val="24"/>
          <w:rtl/>
        </w:rPr>
      </w:pPr>
      <w:r w:rsidRPr="005F3228">
        <w:rPr>
          <w:rFonts w:ascii="David" w:hAnsi="David" w:cs="David" w:hint="cs"/>
          <w:sz w:val="24"/>
          <w:szCs w:val="24"/>
          <w:rtl/>
        </w:rPr>
        <w:t xml:space="preserve"> 3) </w:t>
      </w:r>
      <w:r w:rsidRPr="005F3228">
        <w:rPr>
          <w:rFonts w:ascii="David" w:hAnsi="David" w:cs="David"/>
          <w:sz w:val="24"/>
          <w:szCs w:val="24"/>
          <w:rtl/>
        </w:rPr>
        <w:t>מקרים בהם התקבלה אך ורק תביעה בגין הפרת זכות קניין רוחני</w:t>
      </w:r>
      <w:r w:rsidRPr="005F3228">
        <w:rPr>
          <w:rFonts w:ascii="David" w:hAnsi="David" w:cs="David" w:hint="cs"/>
          <w:sz w:val="24"/>
          <w:szCs w:val="24"/>
          <w:rtl/>
        </w:rPr>
        <w:t>;</w:t>
      </w:r>
    </w:p>
    <w:p w14:paraId="7B5C10AB" w14:textId="77777777" w:rsidR="008079CB" w:rsidRPr="005F3228" w:rsidRDefault="00BA41A3" w:rsidP="00C90672">
      <w:pPr>
        <w:spacing w:after="0" w:line="300" w:lineRule="exact"/>
        <w:jc w:val="both"/>
        <w:rPr>
          <w:rFonts w:ascii="David" w:hAnsi="David" w:cs="David"/>
          <w:sz w:val="24"/>
          <w:szCs w:val="24"/>
          <w:rtl/>
        </w:rPr>
      </w:pPr>
      <w:r w:rsidRPr="005F3228">
        <w:rPr>
          <w:rFonts w:ascii="David" w:hAnsi="David" w:cs="David" w:hint="cs"/>
          <w:sz w:val="24"/>
          <w:szCs w:val="24"/>
          <w:rtl/>
        </w:rPr>
        <w:lastRenderedPageBreak/>
        <w:t xml:space="preserve"> 4)</w:t>
      </w:r>
      <w:r w:rsidRPr="005F3228">
        <w:rPr>
          <w:rFonts w:ascii="David" w:hAnsi="David" w:cs="David"/>
          <w:sz w:val="24"/>
          <w:szCs w:val="24"/>
          <w:rtl/>
        </w:rPr>
        <w:t xml:space="preserve"> מקרים בהם התקבלה אך ורק תביעה בעשיית עושר</w:t>
      </w:r>
      <w:r w:rsidR="007103A7" w:rsidRPr="005F3228">
        <w:rPr>
          <w:rFonts w:ascii="David" w:hAnsi="David" w:cs="David" w:hint="cs"/>
          <w:sz w:val="24"/>
          <w:szCs w:val="24"/>
          <w:rtl/>
        </w:rPr>
        <w:t xml:space="preserve">, </w:t>
      </w:r>
      <w:r w:rsidR="00C90672" w:rsidRPr="005F3228">
        <w:rPr>
          <w:rFonts w:ascii="David" w:hAnsi="David" w:cs="David" w:hint="cs"/>
          <w:sz w:val="24"/>
          <w:szCs w:val="24"/>
          <w:rtl/>
        </w:rPr>
        <w:t xml:space="preserve">אותם אנו מכנים </w:t>
      </w:r>
      <w:r w:rsidR="007103A7" w:rsidRPr="005F3228">
        <w:rPr>
          <w:rFonts w:ascii="David" w:hAnsi="David" w:cs="David" w:hint="cs"/>
          <w:sz w:val="24"/>
          <w:szCs w:val="24"/>
          <w:rtl/>
        </w:rPr>
        <w:t xml:space="preserve">מקרים "דמויי </w:t>
      </w:r>
      <w:proofErr w:type="spellStart"/>
      <w:r w:rsidR="007103A7" w:rsidRPr="005F3228">
        <w:rPr>
          <w:rFonts w:ascii="David" w:hAnsi="David" w:cs="David" w:hint="cs"/>
          <w:sz w:val="24"/>
          <w:szCs w:val="24"/>
          <w:rtl/>
        </w:rPr>
        <w:t>א.ש.י.ר</w:t>
      </w:r>
      <w:proofErr w:type="spellEnd"/>
      <w:r w:rsidR="007103A7" w:rsidRPr="005F3228">
        <w:rPr>
          <w:rFonts w:ascii="David" w:hAnsi="David" w:cs="David" w:hint="cs"/>
          <w:sz w:val="24"/>
          <w:szCs w:val="24"/>
          <w:rtl/>
        </w:rPr>
        <w:t>".</w:t>
      </w:r>
    </w:p>
    <w:p w14:paraId="15F87400" w14:textId="77777777" w:rsidR="0073620C" w:rsidRPr="005F3228" w:rsidRDefault="0073620C" w:rsidP="00B34BC1">
      <w:pPr>
        <w:spacing w:after="0" w:line="300" w:lineRule="exact"/>
        <w:jc w:val="both"/>
        <w:rPr>
          <w:rFonts w:ascii="David" w:hAnsi="David" w:cs="David"/>
          <w:sz w:val="24"/>
          <w:szCs w:val="24"/>
          <w:rtl/>
        </w:rPr>
      </w:pPr>
    </w:p>
    <w:p w14:paraId="7786E290" w14:textId="77777777" w:rsidR="00392AE6" w:rsidRPr="005F3228" w:rsidRDefault="00392AE6" w:rsidP="00E12B48">
      <w:pPr>
        <w:spacing w:line="300" w:lineRule="exact"/>
        <w:jc w:val="both"/>
        <w:rPr>
          <w:rFonts w:ascii="David" w:hAnsi="David" w:cs="David"/>
          <w:sz w:val="24"/>
          <w:szCs w:val="24"/>
          <w:u w:val="single"/>
          <w:rtl/>
        </w:rPr>
      </w:pPr>
      <w:r w:rsidRPr="005F3228">
        <w:rPr>
          <w:rFonts w:ascii="David" w:hAnsi="David" w:cs="David" w:hint="cs"/>
          <w:sz w:val="24"/>
          <w:szCs w:val="24"/>
          <w:rtl/>
        </w:rPr>
        <w:t xml:space="preserve">פרטים מתודולוגיים נוספים אודות </w:t>
      </w:r>
      <w:r w:rsidR="00B507FA" w:rsidRPr="005F3228">
        <w:rPr>
          <w:rFonts w:ascii="David" w:hAnsi="David" w:cs="David" w:hint="cs"/>
          <w:sz w:val="24"/>
          <w:szCs w:val="24"/>
          <w:rtl/>
        </w:rPr>
        <w:t>מאגר המידע</w:t>
      </w:r>
      <w:r w:rsidR="002D2A9D" w:rsidRPr="005F3228">
        <w:rPr>
          <w:rFonts w:ascii="David" w:hAnsi="David" w:cs="David" w:hint="cs"/>
          <w:sz w:val="24"/>
          <w:szCs w:val="24"/>
          <w:rtl/>
        </w:rPr>
        <w:t xml:space="preserve"> </w:t>
      </w:r>
      <w:r w:rsidRPr="005F3228">
        <w:rPr>
          <w:rFonts w:ascii="David" w:hAnsi="David" w:cs="David" w:hint="cs"/>
          <w:sz w:val="24"/>
          <w:szCs w:val="24"/>
          <w:rtl/>
        </w:rPr>
        <w:t>מופיעים ב</w:t>
      </w:r>
      <w:r w:rsidRPr="005F3228">
        <w:rPr>
          <w:rFonts w:ascii="David" w:hAnsi="David" w:cs="David" w:hint="cs"/>
          <w:sz w:val="24"/>
          <w:szCs w:val="24"/>
          <w:u w:val="single"/>
          <w:rtl/>
        </w:rPr>
        <w:t>נספח א'</w:t>
      </w:r>
      <w:r w:rsidRPr="005F3228">
        <w:rPr>
          <w:rFonts w:ascii="David" w:hAnsi="David" w:cs="David" w:hint="cs"/>
          <w:sz w:val="24"/>
          <w:szCs w:val="24"/>
          <w:rtl/>
        </w:rPr>
        <w:t>.</w:t>
      </w:r>
    </w:p>
    <w:p w14:paraId="0CAEA1DB" w14:textId="6979523C" w:rsidR="002A5226" w:rsidRPr="005F3228" w:rsidRDefault="003F5D3D" w:rsidP="00DD3F6A">
      <w:pPr>
        <w:spacing w:line="300" w:lineRule="exact"/>
        <w:jc w:val="both"/>
        <w:rPr>
          <w:rFonts w:ascii="David" w:hAnsi="David" w:cs="David"/>
          <w:sz w:val="24"/>
          <w:szCs w:val="24"/>
          <w:rtl/>
        </w:rPr>
      </w:pPr>
      <w:r w:rsidRPr="005F3228">
        <w:rPr>
          <w:rFonts w:ascii="David" w:hAnsi="David" w:cs="David" w:hint="cs"/>
          <w:sz w:val="24"/>
          <w:szCs w:val="24"/>
          <w:rtl/>
        </w:rPr>
        <w:t xml:space="preserve">כאמור, </w:t>
      </w:r>
      <w:r w:rsidR="00B34BC1" w:rsidRPr="005F3228">
        <w:rPr>
          <w:rFonts w:ascii="David" w:hAnsi="David" w:cs="David"/>
          <w:sz w:val="24"/>
          <w:szCs w:val="24"/>
          <w:rtl/>
        </w:rPr>
        <w:t>בהמשך לניתוח הכמותי, ערכנו ניתוח איכותי ש</w:t>
      </w:r>
      <w:r w:rsidR="0073620C" w:rsidRPr="005F3228">
        <w:rPr>
          <w:rFonts w:ascii="David" w:hAnsi="David" w:cs="David" w:hint="cs"/>
          <w:sz w:val="24"/>
          <w:szCs w:val="24"/>
          <w:rtl/>
        </w:rPr>
        <w:t>התמקד בקטגוריה הרביעית, כלומר</w:t>
      </w:r>
      <w:r w:rsidR="00B34BC1" w:rsidRPr="005F3228">
        <w:rPr>
          <w:rFonts w:ascii="David" w:hAnsi="David" w:cs="David"/>
          <w:sz w:val="24"/>
          <w:szCs w:val="24"/>
          <w:rtl/>
        </w:rPr>
        <w:t xml:space="preserve"> </w:t>
      </w:r>
      <w:r w:rsidR="0073620C" w:rsidRPr="005F3228">
        <w:rPr>
          <w:rFonts w:ascii="David" w:hAnsi="David" w:cs="David" w:hint="cs"/>
          <w:sz w:val="24"/>
          <w:szCs w:val="24"/>
          <w:rtl/>
        </w:rPr>
        <w:t>ב</w:t>
      </w:r>
      <w:r w:rsidR="003303AA" w:rsidRPr="005F3228">
        <w:rPr>
          <w:rFonts w:ascii="David" w:hAnsi="David" w:cs="David" w:hint="cs"/>
          <w:sz w:val="24"/>
          <w:szCs w:val="24"/>
          <w:rtl/>
        </w:rPr>
        <w:t xml:space="preserve">מקרים </w:t>
      </w:r>
      <w:r w:rsidR="00B34BC1" w:rsidRPr="005F3228">
        <w:rPr>
          <w:rFonts w:ascii="David" w:hAnsi="David" w:cs="David"/>
          <w:sz w:val="24"/>
          <w:szCs w:val="24"/>
          <w:rtl/>
        </w:rPr>
        <w:t xml:space="preserve">דמויי </w:t>
      </w:r>
      <w:proofErr w:type="spellStart"/>
      <w:r w:rsidR="00B34BC1" w:rsidRPr="005F3228">
        <w:rPr>
          <w:rFonts w:ascii="David" w:hAnsi="David" w:cs="David"/>
          <w:sz w:val="24"/>
          <w:szCs w:val="24"/>
          <w:rtl/>
        </w:rPr>
        <w:t>א.ש.י.ר</w:t>
      </w:r>
      <w:proofErr w:type="spellEnd"/>
      <w:r w:rsidR="00B34BC1" w:rsidRPr="005F3228">
        <w:rPr>
          <w:rFonts w:ascii="David" w:hAnsi="David" w:cs="David"/>
          <w:sz w:val="24"/>
          <w:szCs w:val="24"/>
          <w:rtl/>
        </w:rPr>
        <w:t xml:space="preserve">., </w:t>
      </w:r>
      <w:r w:rsidR="003303AA" w:rsidRPr="005F3228">
        <w:rPr>
          <w:rFonts w:ascii="David" w:hAnsi="David" w:cs="David" w:hint="cs"/>
          <w:sz w:val="24"/>
          <w:szCs w:val="24"/>
          <w:rtl/>
        </w:rPr>
        <w:t xml:space="preserve">באמצעות </w:t>
      </w:r>
      <w:r w:rsidR="0073620C" w:rsidRPr="005F3228">
        <w:rPr>
          <w:rFonts w:ascii="David" w:hAnsi="David" w:cs="David" w:hint="cs"/>
          <w:sz w:val="24"/>
          <w:szCs w:val="24"/>
          <w:rtl/>
        </w:rPr>
        <w:t>מבט</w:t>
      </w:r>
      <w:r w:rsidR="003303AA" w:rsidRPr="005F3228">
        <w:rPr>
          <w:rFonts w:ascii="David" w:hAnsi="David" w:cs="David" w:hint="cs"/>
          <w:sz w:val="24"/>
          <w:szCs w:val="24"/>
          <w:rtl/>
        </w:rPr>
        <w:t xml:space="preserve"> מקרוב </w:t>
      </w:r>
      <w:r w:rsidR="0073620C" w:rsidRPr="005F3228">
        <w:rPr>
          <w:rFonts w:ascii="David" w:hAnsi="David" w:cs="David" w:hint="cs"/>
          <w:sz w:val="24"/>
          <w:szCs w:val="24"/>
          <w:rtl/>
        </w:rPr>
        <w:t>ע</w:t>
      </w:r>
      <w:r w:rsidR="003303AA" w:rsidRPr="005F3228">
        <w:rPr>
          <w:rFonts w:ascii="David" w:hAnsi="David" w:cs="David" w:hint="cs"/>
          <w:sz w:val="24"/>
          <w:szCs w:val="24"/>
          <w:rtl/>
        </w:rPr>
        <w:t>ל א</w:t>
      </w:r>
      <w:r w:rsidR="0073620C" w:rsidRPr="005F3228">
        <w:rPr>
          <w:rFonts w:ascii="David" w:hAnsi="David" w:cs="David" w:hint="cs"/>
          <w:sz w:val="24"/>
          <w:szCs w:val="24"/>
          <w:rtl/>
        </w:rPr>
        <w:t>ו</w:t>
      </w:r>
      <w:r w:rsidR="003303AA" w:rsidRPr="005F3228">
        <w:rPr>
          <w:rFonts w:ascii="David" w:hAnsi="David" w:cs="David" w:hint="cs"/>
          <w:sz w:val="24"/>
          <w:szCs w:val="24"/>
          <w:rtl/>
        </w:rPr>
        <w:t>תם פסקי דין</w:t>
      </w:r>
      <w:r w:rsidR="00A8014C" w:rsidRPr="005F3228">
        <w:rPr>
          <w:rFonts w:ascii="David" w:hAnsi="David" w:cs="David" w:hint="cs"/>
          <w:sz w:val="24"/>
          <w:szCs w:val="24"/>
          <w:rtl/>
        </w:rPr>
        <w:t xml:space="preserve"> והחלטות</w:t>
      </w:r>
      <w:r w:rsidR="003303AA" w:rsidRPr="005F3228">
        <w:rPr>
          <w:rFonts w:ascii="David" w:hAnsi="David" w:cs="David" w:hint="cs"/>
          <w:sz w:val="24"/>
          <w:szCs w:val="24"/>
          <w:rtl/>
        </w:rPr>
        <w:t xml:space="preserve">. </w:t>
      </w:r>
      <w:r w:rsidR="00392AE6" w:rsidRPr="005F3228">
        <w:rPr>
          <w:rFonts w:ascii="David" w:hAnsi="David" w:cs="David" w:hint="cs"/>
          <w:sz w:val="24"/>
          <w:szCs w:val="24"/>
          <w:rtl/>
        </w:rPr>
        <w:t>במסגרת בדיקה זו ביקשנו להבין באופן מעמיק יותר מהם המקרים בהם עוש</w:t>
      </w:r>
      <w:r w:rsidR="00375BA9" w:rsidRPr="005F3228">
        <w:rPr>
          <w:rFonts w:ascii="David" w:hAnsi="David" w:cs="David" w:hint="cs"/>
          <w:sz w:val="24"/>
          <w:szCs w:val="24"/>
          <w:rtl/>
        </w:rPr>
        <w:t>י</w:t>
      </w:r>
      <w:r w:rsidR="00392AE6" w:rsidRPr="005F3228">
        <w:rPr>
          <w:rFonts w:ascii="David" w:hAnsi="David" w:cs="David" w:hint="cs"/>
          <w:sz w:val="24"/>
          <w:szCs w:val="24"/>
          <w:rtl/>
        </w:rPr>
        <w:t xml:space="preserve">ם בתי המשפט שימוש בהלכת </w:t>
      </w:r>
      <w:proofErr w:type="spellStart"/>
      <w:r w:rsidR="00392AE6" w:rsidRPr="005F3228">
        <w:rPr>
          <w:rFonts w:ascii="David" w:hAnsi="David" w:cs="David" w:hint="cs"/>
          <w:sz w:val="24"/>
          <w:szCs w:val="24"/>
          <w:rtl/>
        </w:rPr>
        <w:t>א.ש.י.ר</w:t>
      </w:r>
      <w:proofErr w:type="spellEnd"/>
      <w:r w:rsidR="00392AE6" w:rsidRPr="005F3228">
        <w:rPr>
          <w:rFonts w:ascii="David" w:hAnsi="David" w:cs="David" w:hint="cs"/>
          <w:sz w:val="24"/>
          <w:szCs w:val="24"/>
          <w:rtl/>
        </w:rPr>
        <w:t xml:space="preserve"> ונותנים סעד בעשיית עושר חרף היעדרה של עילה בקניין רוחני, ואם ניתן </w:t>
      </w:r>
      <w:r w:rsidR="003303AA" w:rsidRPr="005F3228">
        <w:rPr>
          <w:rFonts w:ascii="David" w:hAnsi="David" w:cs="David" w:hint="cs"/>
          <w:sz w:val="24"/>
          <w:szCs w:val="24"/>
          <w:rtl/>
        </w:rPr>
        <w:t>לאתר</w:t>
      </w:r>
      <w:r w:rsidR="00B34BC1" w:rsidRPr="005F3228">
        <w:rPr>
          <w:rFonts w:ascii="David" w:hAnsi="David" w:cs="David"/>
          <w:sz w:val="24"/>
          <w:szCs w:val="24"/>
          <w:rtl/>
        </w:rPr>
        <w:t xml:space="preserve"> דפוסים משותפים </w:t>
      </w:r>
      <w:r w:rsidR="00392AE6" w:rsidRPr="005F3228">
        <w:rPr>
          <w:rFonts w:ascii="David" w:hAnsi="David" w:cs="David" w:hint="cs"/>
          <w:sz w:val="24"/>
          <w:szCs w:val="24"/>
          <w:rtl/>
        </w:rPr>
        <w:t>ל</w:t>
      </w:r>
      <w:r w:rsidR="00B34BC1" w:rsidRPr="005F3228">
        <w:rPr>
          <w:rFonts w:ascii="David" w:hAnsi="David" w:cs="David"/>
          <w:sz w:val="24"/>
          <w:szCs w:val="24"/>
          <w:rtl/>
        </w:rPr>
        <w:t xml:space="preserve">מקרים </w:t>
      </w:r>
      <w:r w:rsidR="00392AE6" w:rsidRPr="005F3228">
        <w:rPr>
          <w:rFonts w:ascii="David" w:hAnsi="David" w:cs="David" w:hint="cs"/>
          <w:sz w:val="24"/>
          <w:szCs w:val="24"/>
          <w:rtl/>
        </w:rPr>
        <w:t>הללו.</w:t>
      </w:r>
    </w:p>
    <w:p w14:paraId="228405A2" w14:textId="77777777" w:rsidR="002A5226" w:rsidRPr="005F3228" w:rsidRDefault="00F767B8" w:rsidP="00F767B8">
      <w:pPr>
        <w:spacing w:line="300" w:lineRule="exact"/>
        <w:jc w:val="both"/>
        <w:rPr>
          <w:rFonts w:ascii="David" w:hAnsi="David" w:cs="David"/>
          <w:b/>
          <w:bCs/>
          <w:sz w:val="24"/>
          <w:szCs w:val="24"/>
          <w:rtl/>
        </w:rPr>
      </w:pPr>
      <w:r w:rsidRPr="005F3228">
        <w:rPr>
          <w:rFonts w:ascii="David" w:hAnsi="David" w:cs="David" w:hint="cs"/>
          <w:b/>
          <w:bCs/>
          <w:sz w:val="24"/>
          <w:szCs w:val="24"/>
          <w:rtl/>
        </w:rPr>
        <w:t>2</w:t>
      </w:r>
      <w:r w:rsidR="002A5226" w:rsidRPr="005F3228">
        <w:rPr>
          <w:rFonts w:ascii="David" w:hAnsi="David" w:cs="David" w:hint="cs"/>
          <w:b/>
          <w:bCs/>
          <w:sz w:val="24"/>
          <w:szCs w:val="24"/>
          <w:rtl/>
        </w:rPr>
        <w:t>. ממצאי</w:t>
      </w:r>
      <w:r w:rsidRPr="005F3228">
        <w:rPr>
          <w:rFonts w:ascii="David" w:hAnsi="David" w:cs="David" w:hint="cs"/>
          <w:b/>
          <w:bCs/>
          <w:sz w:val="24"/>
          <w:szCs w:val="24"/>
          <w:rtl/>
        </w:rPr>
        <w:t xml:space="preserve"> </w:t>
      </w:r>
      <w:r w:rsidR="00C90672" w:rsidRPr="005F3228">
        <w:rPr>
          <w:rFonts w:ascii="David" w:hAnsi="David" w:cs="David" w:hint="cs"/>
          <w:b/>
          <w:bCs/>
          <w:sz w:val="24"/>
          <w:szCs w:val="24"/>
          <w:rtl/>
        </w:rPr>
        <w:t>המחקר הכמותי</w:t>
      </w:r>
    </w:p>
    <w:p w14:paraId="3DD8DEBC" w14:textId="77777777" w:rsidR="001E12A1" w:rsidRPr="005F3228" w:rsidRDefault="00F767B8" w:rsidP="00F767B8">
      <w:pPr>
        <w:spacing w:line="300" w:lineRule="exact"/>
        <w:jc w:val="both"/>
        <w:rPr>
          <w:rFonts w:ascii="David" w:hAnsi="David" w:cs="David"/>
          <w:b/>
          <w:bCs/>
          <w:sz w:val="24"/>
          <w:szCs w:val="24"/>
          <w:rtl/>
        </w:rPr>
      </w:pPr>
      <w:r w:rsidRPr="005F3228">
        <w:rPr>
          <w:rFonts w:ascii="David" w:hAnsi="David" w:cs="David" w:hint="cs"/>
          <w:b/>
          <w:bCs/>
          <w:sz w:val="24"/>
          <w:szCs w:val="24"/>
          <w:rtl/>
        </w:rPr>
        <w:t>א)</w:t>
      </w:r>
      <w:r w:rsidR="001E12A1" w:rsidRPr="005F3228">
        <w:rPr>
          <w:rFonts w:ascii="David" w:hAnsi="David" w:cs="David" w:hint="cs"/>
          <w:b/>
          <w:bCs/>
          <w:sz w:val="24"/>
          <w:szCs w:val="24"/>
          <w:rtl/>
        </w:rPr>
        <w:t xml:space="preserve"> התמונה הכללית</w:t>
      </w:r>
    </w:p>
    <w:p w14:paraId="43E5A5B1" w14:textId="77777777" w:rsidR="00C90672" w:rsidRPr="005F3228" w:rsidRDefault="00832045" w:rsidP="006D2131">
      <w:pPr>
        <w:spacing w:line="300" w:lineRule="exact"/>
        <w:jc w:val="both"/>
        <w:rPr>
          <w:rFonts w:ascii="David" w:hAnsi="David" w:cs="David"/>
          <w:sz w:val="24"/>
          <w:szCs w:val="24"/>
          <w:rtl/>
        </w:rPr>
      </w:pPr>
      <w:r w:rsidRPr="005F3228">
        <w:rPr>
          <w:rFonts w:ascii="David" w:hAnsi="David" w:cs="David" w:hint="cs"/>
          <w:sz w:val="24"/>
          <w:szCs w:val="24"/>
          <w:rtl/>
        </w:rPr>
        <w:t xml:space="preserve">מניתוח כמותי של פסקי הדין </w:t>
      </w:r>
      <w:r w:rsidR="00A8014C" w:rsidRPr="005F3228">
        <w:rPr>
          <w:rFonts w:ascii="David" w:hAnsi="David" w:cs="David" w:hint="cs"/>
          <w:sz w:val="24"/>
          <w:szCs w:val="24"/>
          <w:rtl/>
        </w:rPr>
        <w:t xml:space="preserve">וההחלטות </w:t>
      </w:r>
      <w:r w:rsidRPr="005F3228">
        <w:rPr>
          <w:rFonts w:ascii="David" w:hAnsi="David" w:cs="David" w:hint="cs"/>
          <w:sz w:val="24"/>
          <w:szCs w:val="24"/>
          <w:rtl/>
        </w:rPr>
        <w:t xml:space="preserve">אשר ניתנו מאז הלכת </w:t>
      </w:r>
      <w:proofErr w:type="spellStart"/>
      <w:r w:rsidRPr="005F3228">
        <w:rPr>
          <w:rFonts w:ascii="David" w:hAnsi="David" w:cs="David" w:hint="cs"/>
          <w:sz w:val="24"/>
          <w:szCs w:val="24"/>
          <w:rtl/>
        </w:rPr>
        <w:t>א.ש.י.ר</w:t>
      </w:r>
      <w:proofErr w:type="spellEnd"/>
      <w:r w:rsidRPr="005F3228">
        <w:rPr>
          <w:rFonts w:ascii="David" w:hAnsi="David" w:cs="David" w:hint="cs"/>
          <w:sz w:val="24"/>
          <w:szCs w:val="24"/>
          <w:rtl/>
        </w:rPr>
        <w:t xml:space="preserve"> בבתי המשפט המחוזיים ובבית המשפט העליון ואשר נכללו במאגר עולה התמונה הבאה: </w:t>
      </w:r>
      <w:r w:rsidR="00C90672" w:rsidRPr="005F3228">
        <w:rPr>
          <w:rFonts w:ascii="David" w:hAnsi="David" w:cs="David" w:hint="cs"/>
          <w:sz w:val="24"/>
          <w:szCs w:val="24"/>
          <w:rtl/>
        </w:rPr>
        <w:t>ב</w:t>
      </w:r>
      <w:r w:rsidR="00C90672" w:rsidRPr="005F3228">
        <w:rPr>
          <w:rFonts w:ascii="David" w:hAnsi="David" w:cs="David"/>
          <w:sz w:val="24"/>
          <w:szCs w:val="24"/>
          <w:rtl/>
        </w:rPr>
        <w:t>–</w:t>
      </w:r>
      <w:r w:rsidR="00C8371A" w:rsidRPr="005F3228">
        <w:rPr>
          <w:rFonts w:ascii="David" w:hAnsi="David" w:cs="David" w:hint="cs"/>
          <w:sz w:val="24"/>
          <w:szCs w:val="24"/>
          <w:rtl/>
        </w:rPr>
        <w:t>3</w:t>
      </w:r>
      <w:r w:rsidR="00FA01B2" w:rsidRPr="005F3228">
        <w:rPr>
          <w:rFonts w:ascii="David" w:hAnsi="David" w:cs="David" w:hint="cs"/>
          <w:sz w:val="24"/>
          <w:szCs w:val="24"/>
          <w:rtl/>
        </w:rPr>
        <w:t>8</w:t>
      </w:r>
      <w:r w:rsidR="00C8371A" w:rsidRPr="005F3228">
        <w:rPr>
          <w:rFonts w:ascii="David" w:hAnsi="David" w:cs="David" w:hint="cs"/>
          <w:sz w:val="24"/>
          <w:szCs w:val="24"/>
          <w:rtl/>
        </w:rPr>
        <w:t xml:space="preserve"> </w:t>
      </w:r>
      <w:r w:rsidRPr="005F3228">
        <w:rPr>
          <w:rFonts w:ascii="David" w:hAnsi="David" w:cs="David" w:hint="cs"/>
          <w:sz w:val="24"/>
          <w:szCs w:val="24"/>
          <w:rtl/>
        </w:rPr>
        <w:t>מקרים</w:t>
      </w:r>
      <w:r w:rsidR="00C90672" w:rsidRPr="005F3228">
        <w:rPr>
          <w:rFonts w:ascii="David" w:hAnsi="David" w:cs="David" w:hint="cs"/>
          <w:sz w:val="24"/>
          <w:szCs w:val="24"/>
          <w:rtl/>
        </w:rPr>
        <w:t xml:space="preserve"> התקבלה התביעה הן בקניין רוחני והן בעשיית עושר, ב-</w:t>
      </w:r>
      <w:r w:rsidR="00FA01B2" w:rsidRPr="005F3228">
        <w:rPr>
          <w:rFonts w:ascii="David" w:hAnsi="David" w:cs="David" w:hint="cs"/>
          <w:sz w:val="24"/>
          <w:szCs w:val="24"/>
          <w:rtl/>
        </w:rPr>
        <w:t>203</w:t>
      </w:r>
      <w:r w:rsidR="00C8371A" w:rsidRPr="005F3228">
        <w:rPr>
          <w:rFonts w:ascii="David" w:hAnsi="David" w:cs="David" w:hint="cs"/>
          <w:sz w:val="24"/>
          <w:szCs w:val="24"/>
          <w:rtl/>
        </w:rPr>
        <w:t xml:space="preserve"> </w:t>
      </w:r>
      <w:r w:rsidRPr="005F3228">
        <w:rPr>
          <w:rFonts w:ascii="David" w:hAnsi="David" w:cs="David" w:hint="cs"/>
          <w:sz w:val="24"/>
          <w:szCs w:val="24"/>
          <w:rtl/>
        </w:rPr>
        <w:t xml:space="preserve">מקרים </w:t>
      </w:r>
      <w:r w:rsidR="00C90672" w:rsidRPr="005F3228">
        <w:rPr>
          <w:rFonts w:ascii="David" w:hAnsi="David" w:cs="David" w:hint="cs"/>
          <w:sz w:val="24"/>
          <w:szCs w:val="24"/>
          <w:rtl/>
        </w:rPr>
        <w:t>נדחתה התביעה הן בקניין רוחני והן בעשיית עושר; ב</w:t>
      </w:r>
      <w:r w:rsidR="00C90672" w:rsidRPr="005F3228">
        <w:rPr>
          <w:rFonts w:ascii="David" w:hAnsi="David" w:cs="David"/>
          <w:sz w:val="24"/>
          <w:szCs w:val="24"/>
          <w:rtl/>
        </w:rPr>
        <w:t>–</w:t>
      </w:r>
      <w:r w:rsidRPr="005F3228">
        <w:rPr>
          <w:rFonts w:ascii="David" w:hAnsi="David" w:cs="David" w:hint="cs"/>
          <w:sz w:val="24"/>
          <w:szCs w:val="24"/>
          <w:rtl/>
        </w:rPr>
        <w:t>16</w:t>
      </w:r>
      <w:r w:rsidR="00FA01B2" w:rsidRPr="005F3228">
        <w:rPr>
          <w:rFonts w:ascii="David" w:hAnsi="David" w:cs="David" w:hint="cs"/>
          <w:sz w:val="24"/>
          <w:szCs w:val="24"/>
          <w:rtl/>
        </w:rPr>
        <w:t>5</w:t>
      </w:r>
      <w:r w:rsidRPr="005F3228">
        <w:rPr>
          <w:rFonts w:ascii="David" w:hAnsi="David" w:cs="David" w:hint="cs"/>
          <w:sz w:val="24"/>
          <w:szCs w:val="24"/>
          <w:rtl/>
        </w:rPr>
        <w:t xml:space="preserve"> </w:t>
      </w:r>
      <w:r w:rsidR="00C90672" w:rsidRPr="005F3228">
        <w:rPr>
          <w:rFonts w:ascii="David" w:hAnsi="David" w:cs="David" w:hint="cs"/>
          <w:sz w:val="24"/>
          <w:szCs w:val="24"/>
          <w:rtl/>
        </w:rPr>
        <w:t>מקרים התקבלה התביעה בקניין רוחני בלבד, ואילו ב</w:t>
      </w:r>
      <w:r w:rsidR="00F275DB" w:rsidRPr="005F3228">
        <w:rPr>
          <w:rFonts w:ascii="David" w:hAnsi="David" w:cs="David" w:hint="cs"/>
          <w:sz w:val="24"/>
          <w:szCs w:val="24"/>
          <w:rtl/>
        </w:rPr>
        <w:t>-</w:t>
      </w:r>
      <w:r w:rsidR="001B3B31" w:rsidRPr="005F3228">
        <w:rPr>
          <w:rFonts w:ascii="David" w:hAnsi="David" w:cs="David" w:hint="cs"/>
          <w:sz w:val="24"/>
          <w:szCs w:val="24"/>
          <w:rtl/>
        </w:rPr>
        <w:t>2</w:t>
      </w:r>
      <w:r w:rsidR="009A4454" w:rsidRPr="005F3228">
        <w:rPr>
          <w:rFonts w:ascii="David" w:hAnsi="David" w:cs="David" w:hint="cs"/>
          <w:sz w:val="24"/>
          <w:szCs w:val="24"/>
          <w:rtl/>
        </w:rPr>
        <w:t>4</w:t>
      </w:r>
      <w:r w:rsidRPr="005F3228">
        <w:rPr>
          <w:rFonts w:ascii="David" w:hAnsi="David" w:cs="David" w:hint="cs"/>
          <w:sz w:val="24"/>
          <w:szCs w:val="24"/>
          <w:rtl/>
        </w:rPr>
        <w:t xml:space="preserve"> מקרים </w:t>
      </w:r>
      <w:r w:rsidR="00C90672" w:rsidRPr="005F3228">
        <w:rPr>
          <w:rFonts w:ascii="David" w:hAnsi="David" w:cs="David" w:hint="cs"/>
          <w:sz w:val="24"/>
          <w:szCs w:val="24"/>
          <w:rtl/>
        </w:rPr>
        <w:t>התקבלה התביעה על בסיס עשיית עושר בלבד</w:t>
      </w:r>
      <w:r w:rsidRPr="005F3228">
        <w:rPr>
          <w:rFonts w:ascii="David" w:hAnsi="David" w:cs="David" w:hint="cs"/>
          <w:sz w:val="24"/>
          <w:szCs w:val="24"/>
          <w:rtl/>
        </w:rPr>
        <w:t>-</w:t>
      </w:r>
      <w:r w:rsidR="000E6D62" w:rsidRPr="005F3228">
        <w:rPr>
          <w:rFonts w:ascii="David" w:hAnsi="David" w:cs="David" w:hint="cs"/>
          <w:sz w:val="24"/>
          <w:szCs w:val="24"/>
          <w:rtl/>
        </w:rPr>
        <w:t>מקרים אחרונים אלה</w:t>
      </w:r>
      <w:r w:rsidRPr="005F3228">
        <w:rPr>
          <w:rFonts w:ascii="David" w:hAnsi="David" w:cs="David" w:hint="cs"/>
          <w:sz w:val="24"/>
          <w:szCs w:val="24"/>
          <w:rtl/>
        </w:rPr>
        <w:t xml:space="preserve"> הם המקרים </w:t>
      </w:r>
      <w:r w:rsidR="00F84389" w:rsidRPr="005F3228">
        <w:rPr>
          <w:rFonts w:ascii="David" w:hAnsi="David" w:cs="David" w:hint="cs"/>
          <w:sz w:val="24"/>
          <w:szCs w:val="24"/>
          <w:rtl/>
        </w:rPr>
        <w:t>המכונים על ידינו פסקי הדין "</w:t>
      </w:r>
      <w:r w:rsidRPr="005F3228">
        <w:rPr>
          <w:rFonts w:ascii="David" w:hAnsi="David" w:cs="David" w:hint="cs"/>
          <w:sz w:val="24"/>
          <w:szCs w:val="24"/>
          <w:rtl/>
        </w:rPr>
        <w:t xml:space="preserve">דמויי </w:t>
      </w:r>
      <w:proofErr w:type="spellStart"/>
      <w:r w:rsidRPr="005F3228">
        <w:rPr>
          <w:rFonts w:ascii="David" w:hAnsi="David" w:cs="David" w:hint="cs"/>
          <w:sz w:val="24"/>
          <w:szCs w:val="24"/>
          <w:rtl/>
        </w:rPr>
        <w:t>א.ש.י.ר</w:t>
      </w:r>
      <w:proofErr w:type="spellEnd"/>
      <w:r w:rsidRPr="005F3228">
        <w:rPr>
          <w:rFonts w:ascii="David" w:hAnsi="David" w:cs="David" w:hint="cs"/>
          <w:sz w:val="24"/>
          <w:szCs w:val="24"/>
          <w:rtl/>
        </w:rPr>
        <w:t>"</w:t>
      </w:r>
      <w:bookmarkStart w:id="39" w:name="_Ref28464782"/>
      <w:r w:rsidR="00F84389" w:rsidRPr="005F3228">
        <w:rPr>
          <w:rStyle w:val="FootnoteReference"/>
          <w:rFonts w:ascii="David" w:hAnsi="David" w:cs="David"/>
          <w:sz w:val="24"/>
          <w:szCs w:val="24"/>
          <w:rtl/>
        </w:rPr>
        <w:footnoteReference w:id="64"/>
      </w:r>
      <w:bookmarkEnd w:id="39"/>
      <w:r w:rsidRPr="005F3228">
        <w:rPr>
          <w:rFonts w:ascii="David" w:hAnsi="David" w:cs="David" w:hint="cs"/>
          <w:sz w:val="24"/>
          <w:szCs w:val="24"/>
          <w:rtl/>
        </w:rPr>
        <w:t>.</w:t>
      </w:r>
      <w:r w:rsidR="00C54B31" w:rsidRPr="005F3228">
        <w:rPr>
          <w:rFonts w:ascii="David" w:hAnsi="David" w:cs="David" w:hint="cs"/>
          <w:sz w:val="24"/>
          <w:szCs w:val="24"/>
          <w:rtl/>
        </w:rPr>
        <w:t xml:space="preserve"> </w:t>
      </w:r>
    </w:p>
    <w:p w14:paraId="5C125782" w14:textId="77777777" w:rsidR="00C90672" w:rsidRPr="005F3228" w:rsidRDefault="00C90672" w:rsidP="00476598">
      <w:pPr>
        <w:spacing w:line="300" w:lineRule="exact"/>
        <w:jc w:val="both"/>
        <w:rPr>
          <w:rFonts w:ascii="David" w:hAnsi="David" w:cs="David"/>
          <w:sz w:val="24"/>
          <w:szCs w:val="24"/>
          <w:rtl/>
        </w:rPr>
      </w:pPr>
      <w:r w:rsidRPr="005F3228">
        <w:rPr>
          <w:rFonts w:ascii="David" w:hAnsi="David" w:cs="David" w:hint="cs"/>
          <w:sz w:val="24"/>
          <w:szCs w:val="24"/>
          <w:rtl/>
        </w:rPr>
        <w:t xml:space="preserve">תיאור התפלגות </w:t>
      </w:r>
      <w:r w:rsidR="00A8014C" w:rsidRPr="005F3228">
        <w:rPr>
          <w:rFonts w:ascii="David" w:hAnsi="David" w:cs="David" w:hint="cs"/>
          <w:sz w:val="24"/>
          <w:szCs w:val="24"/>
          <w:rtl/>
        </w:rPr>
        <w:t xml:space="preserve">המקרים </w:t>
      </w:r>
      <w:r w:rsidRPr="005F3228">
        <w:rPr>
          <w:rFonts w:ascii="David" w:hAnsi="David" w:cs="David" w:hint="cs"/>
          <w:sz w:val="24"/>
          <w:szCs w:val="24"/>
          <w:rtl/>
        </w:rPr>
        <w:t>לפי הקטגוריות השונות</w:t>
      </w:r>
      <w:r w:rsidR="009126C9" w:rsidRPr="005F3228">
        <w:rPr>
          <w:rFonts w:ascii="David" w:hAnsi="David" w:cs="David" w:hint="cs"/>
          <w:sz w:val="24"/>
          <w:szCs w:val="24"/>
          <w:rtl/>
        </w:rPr>
        <w:t>, במספרים ובאח</w:t>
      </w:r>
      <w:r w:rsidR="00B507FA" w:rsidRPr="005F3228">
        <w:rPr>
          <w:rFonts w:ascii="David" w:hAnsi="David" w:cs="David" w:hint="cs"/>
          <w:sz w:val="24"/>
          <w:szCs w:val="24"/>
          <w:rtl/>
        </w:rPr>
        <w:t>ו</w:t>
      </w:r>
      <w:r w:rsidR="009126C9" w:rsidRPr="005F3228">
        <w:rPr>
          <w:rFonts w:ascii="David" w:hAnsi="David" w:cs="David" w:hint="cs"/>
          <w:sz w:val="24"/>
          <w:szCs w:val="24"/>
          <w:rtl/>
        </w:rPr>
        <w:t>זים,</w:t>
      </w:r>
      <w:r w:rsidRPr="005F3228">
        <w:rPr>
          <w:rFonts w:ascii="David" w:hAnsi="David" w:cs="David" w:hint="cs"/>
          <w:sz w:val="24"/>
          <w:szCs w:val="24"/>
          <w:rtl/>
        </w:rPr>
        <w:t xml:space="preserve"> מופיע </w:t>
      </w:r>
      <w:r w:rsidR="009126C9" w:rsidRPr="005F3228">
        <w:rPr>
          <w:rFonts w:ascii="David" w:hAnsi="David" w:cs="David" w:hint="cs"/>
          <w:sz w:val="24"/>
          <w:szCs w:val="24"/>
          <w:rtl/>
        </w:rPr>
        <w:t xml:space="preserve">בטבלה </w:t>
      </w:r>
      <w:r w:rsidRPr="005F3228">
        <w:rPr>
          <w:rFonts w:ascii="David" w:hAnsi="David" w:cs="David" w:hint="cs"/>
          <w:sz w:val="24"/>
          <w:szCs w:val="24"/>
          <w:rtl/>
        </w:rPr>
        <w:t>להלן:</w:t>
      </w:r>
    </w:p>
    <w:tbl>
      <w:tblPr>
        <w:tblStyle w:val="TableGrid"/>
        <w:bidiVisual/>
        <w:tblW w:w="8306" w:type="dxa"/>
        <w:tblInd w:w="630" w:type="dxa"/>
        <w:tblLook w:val="04A0" w:firstRow="1" w:lastRow="0" w:firstColumn="1" w:lastColumn="0" w:noHBand="0" w:noVBand="1"/>
      </w:tblPr>
      <w:tblGrid>
        <w:gridCol w:w="987"/>
        <w:gridCol w:w="1587"/>
        <w:gridCol w:w="1909"/>
        <w:gridCol w:w="1909"/>
        <w:gridCol w:w="1914"/>
      </w:tblGrid>
      <w:tr w:rsidR="00827229" w:rsidRPr="005F3228" w14:paraId="6FEC29D8" w14:textId="77777777" w:rsidTr="00827229">
        <w:tc>
          <w:tcPr>
            <w:tcW w:w="987" w:type="dxa"/>
          </w:tcPr>
          <w:p w14:paraId="46B3F8C2" w14:textId="77777777" w:rsidR="00827229" w:rsidRPr="005F3228" w:rsidRDefault="00827229" w:rsidP="00827229">
            <w:pPr>
              <w:spacing w:line="300" w:lineRule="exact"/>
              <w:jc w:val="center"/>
              <w:rPr>
                <w:rFonts w:ascii="David" w:hAnsi="David" w:cs="David"/>
                <w:b/>
                <w:bCs/>
                <w:sz w:val="24"/>
                <w:szCs w:val="24"/>
                <w:rtl/>
              </w:rPr>
            </w:pPr>
            <w:bookmarkStart w:id="40" w:name="_Hlk28455170"/>
            <w:r w:rsidRPr="005F3228">
              <w:rPr>
                <w:rFonts w:ascii="David" w:hAnsi="David" w:cs="David" w:hint="cs"/>
                <w:b/>
                <w:bCs/>
                <w:sz w:val="24"/>
                <w:szCs w:val="24"/>
                <w:rtl/>
              </w:rPr>
              <w:t>קטגוריה</w:t>
            </w:r>
          </w:p>
        </w:tc>
        <w:tc>
          <w:tcPr>
            <w:tcW w:w="1587" w:type="dxa"/>
          </w:tcPr>
          <w:p w14:paraId="015AFEDA" w14:textId="77777777" w:rsidR="00827229" w:rsidRPr="005F3228" w:rsidRDefault="00827229" w:rsidP="00827229">
            <w:pPr>
              <w:spacing w:line="300" w:lineRule="exact"/>
              <w:jc w:val="center"/>
              <w:rPr>
                <w:rFonts w:ascii="David" w:hAnsi="David" w:cs="David"/>
                <w:b/>
                <w:bCs/>
                <w:sz w:val="24"/>
                <w:szCs w:val="24"/>
                <w:rtl/>
              </w:rPr>
            </w:pPr>
            <w:r w:rsidRPr="005F3228">
              <w:rPr>
                <w:rFonts w:ascii="David" w:hAnsi="David" w:cs="David" w:hint="cs"/>
                <w:b/>
                <w:bCs/>
                <w:sz w:val="24"/>
                <w:szCs w:val="24"/>
                <w:rtl/>
              </w:rPr>
              <w:t>עילת קניין רוחני</w:t>
            </w:r>
          </w:p>
        </w:tc>
        <w:tc>
          <w:tcPr>
            <w:tcW w:w="1909" w:type="dxa"/>
          </w:tcPr>
          <w:p w14:paraId="1AEF928A" w14:textId="77777777" w:rsidR="00827229" w:rsidRPr="005F3228" w:rsidRDefault="00827229" w:rsidP="00827229">
            <w:pPr>
              <w:spacing w:line="300" w:lineRule="exact"/>
              <w:jc w:val="center"/>
              <w:rPr>
                <w:rFonts w:ascii="David" w:hAnsi="David" w:cs="David"/>
                <w:b/>
                <w:bCs/>
                <w:sz w:val="24"/>
                <w:szCs w:val="24"/>
                <w:rtl/>
              </w:rPr>
            </w:pPr>
            <w:r w:rsidRPr="005F3228">
              <w:rPr>
                <w:rFonts w:ascii="David" w:hAnsi="David" w:cs="David" w:hint="cs"/>
                <w:b/>
                <w:bCs/>
                <w:sz w:val="24"/>
                <w:szCs w:val="24"/>
                <w:rtl/>
              </w:rPr>
              <w:t>עילת עשיית עושר</w:t>
            </w:r>
          </w:p>
        </w:tc>
        <w:tc>
          <w:tcPr>
            <w:tcW w:w="1909" w:type="dxa"/>
          </w:tcPr>
          <w:p w14:paraId="73D58B74" w14:textId="77777777" w:rsidR="00827229" w:rsidRPr="005F3228" w:rsidRDefault="00827229" w:rsidP="00827229">
            <w:pPr>
              <w:spacing w:line="300" w:lineRule="exact"/>
              <w:jc w:val="center"/>
              <w:rPr>
                <w:rFonts w:ascii="David" w:hAnsi="David" w:cs="David"/>
                <w:b/>
                <w:bCs/>
                <w:sz w:val="24"/>
                <w:szCs w:val="24"/>
                <w:rtl/>
              </w:rPr>
            </w:pPr>
            <w:r w:rsidRPr="005F3228">
              <w:rPr>
                <w:rFonts w:ascii="David" w:hAnsi="David" w:cs="David"/>
                <w:b/>
                <w:bCs/>
                <w:sz w:val="24"/>
                <w:szCs w:val="24"/>
                <w:rtl/>
              </w:rPr>
              <w:t xml:space="preserve">מספר </w:t>
            </w:r>
            <w:r w:rsidRPr="005F3228">
              <w:rPr>
                <w:rFonts w:ascii="David" w:hAnsi="David" w:cs="David" w:hint="cs"/>
                <w:b/>
                <w:bCs/>
                <w:sz w:val="24"/>
                <w:szCs w:val="24"/>
                <w:rtl/>
              </w:rPr>
              <w:t xml:space="preserve">מקרים </w:t>
            </w:r>
          </w:p>
        </w:tc>
        <w:tc>
          <w:tcPr>
            <w:tcW w:w="1914" w:type="dxa"/>
          </w:tcPr>
          <w:p w14:paraId="6253C5E1" w14:textId="77777777" w:rsidR="00827229" w:rsidRPr="005F3228" w:rsidRDefault="00827229" w:rsidP="00827229">
            <w:pPr>
              <w:spacing w:line="300" w:lineRule="exact"/>
              <w:jc w:val="center"/>
              <w:rPr>
                <w:rFonts w:ascii="David" w:hAnsi="David" w:cs="David"/>
                <w:b/>
                <w:bCs/>
                <w:sz w:val="24"/>
                <w:szCs w:val="24"/>
                <w:rtl/>
              </w:rPr>
            </w:pPr>
            <w:r w:rsidRPr="005F3228">
              <w:rPr>
                <w:rFonts w:ascii="David" w:hAnsi="David" w:cs="David"/>
                <w:b/>
                <w:bCs/>
                <w:sz w:val="24"/>
                <w:szCs w:val="24"/>
                <w:rtl/>
              </w:rPr>
              <w:t>אחוז</w:t>
            </w:r>
          </w:p>
          <w:p w14:paraId="42DB3E27" w14:textId="77777777" w:rsidR="00827229" w:rsidRPr="005F3228" w:rsidRDefault="00827229" w:rsidP="00827229">
            <w:pPr>
              <w:spacing w:line="300" w:lineRule="exact"/>
              <w:jc w:val="center"/>
              <w:rPr>
                <w:rFonts w:ascii="David" w:hAnsi="David" w:cs="David"/>
                <w:b/>
                <w:bCs/>
                <w:sz w:val="24"/>
                <w:szCs w:val="24"/>
                <w:rtl/>
              </w:rPr>
            </w:pPr>
            <w:r w:rsidRPr="005F3228">
              <w:rPr>
                <w:rFonts w:ascii="David" w:hAnsi="David" w:cs="David" w:hint="cs"/>
                <w:b/>
                <w:bCs/>
                <w:sz w:val="24"/>
                <w:szCs w:val="24"/>
                <w:rtl/>
              </w:rPr>
              <w:t>מקרים</w:t>
            </w:r>
            <w:r w:rsidRPr="005F3228">
              <w:rPr>
                <w:rFonts w:ascii="David" w:hAnsi="David" w:cs="David"/>
                <w:b/>
                <w:bCs/>
                <w:sz w:val="24"/>
                <w:szCs w:val="24"/>
                <w:rtl/>
              </w:rPr>
              <w:t xml:space="preserve"> (בקירוב)</w:t>
            </w:r>
          </w:p>
        </w:tc>
      </w:tr>
      <w:tr w:rsidR="00827229" w:rsidRPr="005F3228" w14:paraId="60BF1A9E" w14:textId="77777777" w:rsidTr="00827229">
        <w:tc>
          <w:tcPr>
            <w:tcW w:w="987" w:type="dxa"/>
          </w:tcPr>
          <w:p w14:paraId="520E2ED7"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1</w:t>
            </w:r>
          </w:p>
        </w:tc>
        <w:tc>
          <w:tcPr>
            <w:tcW w:w="1587" w:type="dxa"/>
          </w:tcPr>
          <w:p w14:paraId="0527D330"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כן</w:t>
            </w:r>
          </w:p>
        </w:tc>
        <w:tc>
          <w:tcPr>
            <w:tcW w:w="1909" w:type="dxa"/>
          </w:tcPr>
          <w:p w14:paraId="63DD8D2F"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כן</w:t>
            </w:r>
          </w:p>
        </w:tc>
        <w:tc>
          <w:tcPr>
            <w:tcW w:w="1909" w:type="dxa"/>
          </w:tcPr>
          <w:p w14:paraId="457E3F7B"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38</w:t>
            </w:r>
          </w:p>
        </w:tc>
        <w:tc>
          <w:tcPr>
            <w:tcW w:w="1914" w:type="dxa"/>
          </w:tcPr>
          <w:p w14:paraId="175631BF" w14:textId="77777777" w:rsidR="00827229" w:rsidRPr="005F3228" w:rsidRDefault="00827229" w:rsidP="00827229">
            <w:pPr>
              <w:spacing w:after="120" w:line="300" w:lineRule="exact"/>
              <w:jc w:val="both"/>
              <w:rPr>
                <w:rFonts w:ascii="David" w:hAnsi="David" w:cs="David"/>
                <w:sz w:val="24"/>
                <w:szCs w:val="24"/>
                <w:rtl/>
              </w:rPr>
            </w:pPr>
            <w:r w:rsidRPr="005F3228">
              <w:rPr>
                <w:rFonts w:ascii="David" w:hAnsi="David" w:cs="David" w:hint="cs"/>
                <w:sz w:val="24"/>
                <w:szCs w:val="24"/>
                <w:rtl/>
              </w:rPr>
              <w:t>8.8%</w:t>
            </w:r>
          </w:p>
        </w:tc>
      </w:tr>
      <w:tr w:rsidR="00827229" w:rsidRPr="005F3228" w14:paraId="6A852A03" w14:textId="77777777" w:rsidTr="00827229">
        <w:tc>
          <w:tcPr>
            <w:tcW w:w="987" w:type="dxa"/>
          </w:tcPr>
          <w:p w14:paraId="1E6CFC03"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2</w:t>
            </w:r>
          </w:p>
        </w:tc>
        <w:tc>
          <w:tcPr>
            <w:tcW w:w="1587" w:type="dxa"/>
          </w:tcPr>
          <w:p w14:paraId="560CC60C"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לא</w:t>
            </w:r>
          </w:p>
        </w:tc>
        <w:tc>
          <w:tcPr>
            <w:tcW w:w="1909" w:type="dxa"/>
          </w:tcPr>
          <w:p w14:paraId="431694B9"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לא</w:t>
            </w:r>
          </w:p>
        </w:tc>
        <w:tc>
          <w:tcPr>
            <w:tcW w:w="1909" w:type="dxa"/>
          </w:tcPr>
          <w:p w14:paraId="5454594B"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203</w:t>
            </w:r>
          </w:p>
        </w:tc>
        <w:tc>
          <w:tcPr>
            <w:tcW w:w="1914" w:type="dxa"/>
          </w:tcPr>
          <w:p w14:paraId="42F27527" w14:textId="77777777" w:rsidR="00827229" w:rsidRPr="005F3228" w:rsidRDefault="00827229" w:rsidP="00827229">
            <w:pPr>
              <w:spacing w:after="120" w:line="300" w:lineRule="exact"/>
              <w:jc w:val="both"/>
              <w:rPr>
                <w:rFonts w:ascii="David" w:hAnsi="David" w:cs="David"/>
                <w:sz w:val="24"/>
                <w:szCs w:val="24"/>
                <w:rtl/>
              </w:rPr>
            </w:pPr>
            <w:r w:rsidRPr="005F3228">
              <w:rPr>
                <w:rFonts w:ascii="David" w:hAnsi="David" w:cs="David"/>
                <w:sz w:val="24"/>
                <w:szCs w:val="24"/>
                <w:rtl/>
              </w:rPr>
              <w:t>4</w:t>
            </w:r>
            <w:r w:rsidRPr="005F3228">
              <w:rPr>
                <w:rFonts w:ascii="David" w:hAnsi="David" w:cs="David" w:hint="cs"/>
                <w:sz w:val="24"/>
                <w:szCs w:val="24"/>
                <w:rtl/>
              </w:rPr>
              <w:t>7.2</w:t>
            </w:r>
            <w:r w:rsidRPr="005F3228">
              <w:rPr>
                <w:rFonts w:ascii="David" w:hAnsi="David" w:cs="David"/>
                <w:sz w:val="24"/>
                <w:szCs w:val="24"/>
                <w:rtl/>
              </w:rPr>
              <w:t>%</w:t>
            </w:r>
          </w:p>
        </w:tc>
      </w:tr>
      <w:tr w:rsidR="00827229" w:rsidRPr="005F3228" w14:paraId="329690E8" w14:textId="77777777" w:rsidTr="00827229">
        <w:tc>
          <w:tcPr>
            <w:tcW w:w="987" w:type="dxa"/>
          </w:tcPr>
          <w:p w14:paraId="11A9B4EC"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3</w:t>
            </w:r>
          </w:p>
        </w:tc>
        <w:tc>
          <w:tcPr>
            <w:tcW w:w="1587" w:type="dxa"/>
          </w:tcPr>
          <w:p w14:paraId="368E7091"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כן</w:t>
            </w:r>
          </w:p>
        </w:tc>
        <w:tc>
          <w:tcPr>
            <w:tcW w:w="1909" w:type="dxa"/>
          </w:tcPr>
          <w:p w14:paraId="1181324F"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לא</w:t>
            </w:r>
          </w:p>
        </w:tc>
        <w:tc>
          <w:tcPr>
            <w:tcW w:w="1909" w:type="dxa"/>
          </w:tcPr>
          <w:p w14:paraId="2473CD0E"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165</w:t>
            </w:r>
            <w:r w:rsidRPr="005F3228">
              <w:rPr>
                <w:rFonts w:ascii="David" w:hAnsi="David" w:cs="David"/>
                <w:sz w:val="24"/>
                <w:szCs w:val="24"/>
                <w:rtl/>
              </w:rPr>
              <w:t xml:space="preserve"> </w:t>
            </w:r>
          </w:p>
        </w:tc>
        <w:tc>
          <w:tcPr>
            <w:tcW w:w="1914" w:type="dxa"/>
          </w:tcPr>
          <w:p w14:paraId="098E4916" w14:textId="77777777" w:rsidR="00827229" w:rsidRPr="005F3228" w:rsidRDefault="00827229" w:rsidP="00827229">
            <w:pPr>
              <w:spacing w:after="120" w:line="300" w:lineRule="exact"/>
              <w:jc w:val="both"/>
              <w:rPr>
                <w:rFonts w:ascii="David" w:hAnsi="David" w:cs="David"/>
                <w:sz w:val="24"/>
                <w:szCs w:val="24"/>
                <w:rtl/>
              </w:rPr>
            </w:pPr>
            <w:r w:rsidRPr="005F3228">
              <w:rPr>
                <w:rFonts w:ascii="David" w:hAnsi="David" w:cs="David" w:hint="cs"/>
                <w:sz w:val="24"/>
                <w:szCs w:val="24"/>
                <w:rtl/>
              </w:rPr>
              <w:t>38.4</w:t>
            </w:r>
            <w:r w:rsidRPr="005F3228">
              <w:rPr>
                <w:rFonts w:ascii="David" w:hAnsi="David" w:cs="David"/>
                <w:sz w:val="24"/>
                <w:szCs w:val="24"/>
                <w:rtl/>
              </w:rPr>
              <w:t>%</w:t>
            </w:r>
          </w:p>
        </w:tc>
      </w:tr>
      <w:tr w:rsidR="00827229" w:rsidRPr="005F3228" w14:paraId="29F4119B" w14:textId="77777777" w:rsidTr="00827229">
        <w:tc>
          <w:tcPr>
            <w:tcW w:w="987" w:type="dxa"/>
          </w:tcPr>
          <w:p w14:paraId="5541EBCC"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4</w:t>
            </w:r>
          </w:p>
        </w:tc>
        <w:tc>
          <w:tcPr>
            <w:tcW w:w="1587" w:type="dxa"/>
          </w:tcPr>
          <w:p w14:paraId="5CFFD0F1"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לא</w:t>
            </w:r>
          </w:p>
        </w:tc>
        <w:tc>
          <w:tcPr>
            <w:tcW w:w="1909" w:type="dxa"/>
          </w:tcPr>
          <w:p w14:paraId="5CFF939A"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כן</w:t>
            </w:r>
          </w:p>
        </w:tc>
        <w:tc>
          <w:tcPr>
            <w:tcW w:w="1909" w:type="dxa"/>
          </w:tcPr>
          <w:p w14:paraId="53CE63EB" w14:textId="77777777" w:rsidR="00827229" w:rsidRPr="005F3228" w:rsidRDefault="00827229" w:rsidP="00827229">
            <w:pPr>
              <w:spacing w:after="120" w:line="300" w:lineRule="exact"/>
              <w:ind w:left="360"/>
              <w:jc w:val="both"/>
              <w:rPr>
                <w:rFonts w:ascii="David" w:hAnsi="David" w:cs="David"/>
                <w:sz w:val="24"/>
                <w:szCs w:val="24"/>
                <w:rtl/>
              </w:rPr>
            </w:pPr>
            <w:r w:rsidRPr="005F3228">
              <w:rPr>
                <w:rFonts w:ascii="David" w:hAnsi="David" w:cs="David" w:hint="cs"/>
                <w:sz w:val="24"/>
                <w:szCs w:val="24"/>
                <w:rtl/>
              </w:rPr>
              <w:t>24</w:t>
            </w:r>
          </w:p>
        </w:tc>
        <w:tc>
          <w:tcPr>
            <w:tcW w:w="1914" w:type="dxa"/>
          </w:tcPr>
          <w:p w14:paraId="2FDC1A92" w14:textId="77777777" w:rsidR="00827229" w:rsidRPr="005F3228" w:rsidRDefault="00827229" w:rsidP="00827229">
            <w:pPr>
              <w:spacing w:after="120" w:line="300" w:lineRule="exact"/>
              <w:jc w:val="both"/>
              <w:rPr>
                <w:rFonts w:ascii="David" w:hAnsi="David" w:cs="David"/>
                <w:sz w:val="24"/>
                <w:szCs w:val="24"/>
                <w:rtl/>
              </w:rPr>
            </w:pPr>
            <w:r w:rsidRPr="005F3228">
              <w:rPr>
                <w:rFonts w:ascii="David" w:hAnsi="David" w:cs="David"/>
                <w:sz w:val="24"/>
                <w:szCs w:val="24"/>
                <w:rtl/>
              </w:rPr>
              <w:t>5</w:t>
            </w:r>
            <w:r w:rsidRPr="005F3228">
              <w:rPr>
                <w:rFonts w:ascii="David" w:hAnsi="David" w:cs="David" w:hint="cs"/>
                <w:sz w:val="24"/>
                <w:szCs w:val="24"/>
                <w:rtl/>
              </w:rPr>
              <w:t>.6</w:t>
            </w:r>
            <w:r w:rsidRPr="005F3228">
              <w:rPr>
                <w:rFonts w:ascii="David" w:hAnsi="David" w:cs="David"/>
                <w:sz w:val="24"/>
                <w:szCs w:val="24"/>
                <w:rtl/>
              </w:rPr>
              <w:t>%</w:t>
            </w:r>
          </w:p>
        </w:tc>
      </w:tr>
    </w:tbl>
    <w:bookmarkEnd w:id="40"/>
    <w:p w14:paraId="1354347D" w14:textId="77777777" w:rsidR="00F215A5" w:rsidRPr="005F3228" w:rsidRDefault="00C90672" w:rsidP="000B6309">
      <w:pPr>
        <w:spacing w:line="300" w:lineRule="exact"/>
        <w:jc w:val="both"/>
        <w:rPr>
          <w:rFonts w:ascii="David" w:hAnsi="David" w:cs="David"/>
          <w:sz w:val="24"/>
          <w:szCs w:val="24"/>
          <w:rtl/>
        </w:rPr>
      </w:pPr>
      <w:r w:rsidRPr="005F3228">
        <w:rPr>
          <w:rFonts w:ascii="David" w:hAnsi="David" w:cs="David" w:hint="cs"/>
          <w:sz w:val="24"/>
          <w:szCs w:val="24"/>
          <w:rtl/>
        </w:rPr>
        <w:t>טבלה מספר 1</w:t>
      </w:r>
      <w:r w:rsidR="00832045" w:rsidRPr="005F3228">
        <w:rPr>
          <w:rFonts w:ascii="David" w:hAnsi="David" w:cs="David" w:hint="cs"/>
          <w:sz w:val="24"/>
          <w:szCs w:val="24"/>
          <w:rtl/>
        </w:rPr>
        <w:t xml:space="preserve">: </w:t>
      </w:r>
      <w:r w:rsidR="000E6D62" w:rsidRPr="005F3228">
        <w:rPr>
          <w:rFonts w:ascii="David" w:hAnsi="David" w:cs="David" w:hint="cs"/>
          <w:sz w:val="24"/>
          <w:szCs w:val="24"/>
          <w:rtl/>
        </w:rPr>
        <w:t xml:space="preserve">חלוקת </w:t>
      </w:r>
      <w:r w:rsidR="00EB46ED" w:rsidRPr="005F3228">
        <w:rPr>
          <w:rFonts w:ascii="David" w:hAnsi="David" w:cs="David" w:hint="cs"/>
          <w:sz w:val="24"/>
          <w:szCs w:val="24"/>
          <w:rtl/>
        </w:rPr>
        <w:t>פסקי דין ו</w:t>
      </w:r>
      <w:r w:rsidR="00A8014C" w:rsidRPr="005F3228">
        <w:rPr>
          <w:rFonts w:ascii="David" w:hAnsi="David" w:cs="David" w:hint="cs"/>
          <w:sz w:val="24"/>
          <w:szCs w:val="24"/>
          <w:rtl/>
        </w:rPr>
        <w:t>החלטות</w:t>
      </w:r>
      <w:r w:rsidR="000E6D62" w:rsidRPr="005F3228">
        <w:rPr>
          <w:rFonts w:ascii="David" w:hAnsi="David" w:cs="David" w:hint="cs"/>
          <w:sz w:val="24"/>
          <w:szCs w:val="24"/>
          <w:rtl/>
        </w:rPr>
        <w:t xml:space="preserve"> לפי קטגוריות</w:t>
      </w:r>
      <w:r w:rsidR="007A1A87" w:rsidRPr="005F3228">
        <w:rPr>
          <w:rFonts w:ascii="David" w:hAnsi="David" w:cs="David" w:hint="cs"/>
          <w:sz w:val="24"/>
          <w:szCs w:val="24"/>
          <w:rtl/>
        </w:rPr>
        <w:t xml:space="preserve"> </w:t>
      </w:r>
    </w:p>
    <w:p w14:paraId="206E5656" w14:textId="77777777" w:rsidR="00DE0A44" w:rsidRPr="005F3228" w:rsidRDefault="0020473E" w:rsidP="00FB41C9">
      <w:pPr>
        <w:spacing w:line="300" w:lineRule="exact"/>
        <w:jc w:val="both"/>
        <w:rPr>
          <w:rFonts w:ascii="David" w:hAnsi="David" w:cs="David"/>
          <w:sz w:val="24"/>
          <w:szCs w:val="24"/>
          <w:rtl/>
        </w:rPr>
      </w:pPr>
      <w:r w:rsidRPr="005F3228">
        <w:rPr>
          <w:rFonts w:ascii="David" w:hAnsi="David" w:cs="David"/>
          <w:noProof/>
          <w:sz w:val="24"/>
          <w:szCs w:val="24"/>
        </w:rPr>
        <w:lastRenderedPageBreak/>
        <w:drawing>
          <wp:anchor distT="0" distB="0" distL="114300" distR="114300" simplePos="0" relativeHeight="251660288" behindDoc="0" locked="0" layoutInCell="1" allowOverlap="1" wp14:anchorId="4E9835C6" wp14:editId="4053C259">
            <wp:simplePos x="0" y="0"/>
            <wp:positionH relativeFrom="margin">
              <wp:posOffset>1099185</wp:posOffset>
            </wp:positionH>
            <wp:positionV relativeFrom="paragraph">
              <wp:posOffset>247650</wp:posOffset>
            </wp:positionV>
            <wp:extent cx="4174490" cy="23495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4490" cy="2349500"/>
                    </a:xfrm>
                    <a:prstGeom prst="rect">
                      <a:avLst/>
                    </a:prstGeom>
                    <a:noFill/>
                  </pic:spPr>
                </pic:pic>
              </a:graphicData>
            </a:graphic>
            <wp14:sizeRelH relativeFrom="page">
              <wp14:pctWidth>0</wp14:pctWidth>
            </wp14:sizeRelH>
            <wp14:sizeRelV relativeFrom="page">
              <wp14:pctHeight>0</wp14:pctHeight>
            </wp14:sizeRelV>
          </wp:anchor>
        </w:drawing>
      </w:r>
      <w:r w:rsidR="006F775E" w:rsidRPr="005F3228">
        <w:rPr>
          <w:rFonts w:ascii="David" w:hAnsi="David" w:cs="David" w:hint="cs"/>
          <w:sz w:val="24"/>
          <w:szCs w:val="24"/>
          <w:rtl/>
        </w:rPr>
        <w:t xml:space="preserve">תיאור גרפי של התפלגות המקרים מופיע בשרטוט שלהלן: </w:t>
      </w:r>
    </w:p>
    <w:p w14:paraId="43F2DA30" w14:textId="77777777" w:rsidR="00FB41C9" w:rsidRPr="005F3228" w:rsidRDefault="00FB41C9" w:rsidP="006D2131">
      <w:pPr>
        <w:spacing w:line="300" w:lineRule="exact"/>
        <w:jc w:val="both"/>
        <w:rPr>
          <w:rFonts w:ascii="David" w:hAnsi="David" w:cs="David"/>
          <w:sz w:val="24"/>
          <w:szCs w:val="24"/>
          <w:rtl/>
        </w:rPr>
      </w:pPr>
      <w:r w:rsidRPr="005F3228">
        <w:rPr>
          <w:rFonts w:ascii="David" w:hAnsi="David" w:cs="David" w:hint="cs"/>
          <w:sz w:val="24"/>
          <w:szCs w:val="24"/>
          <w:rtl/>
        </w:rPr>
        <w:t xml:space="preserve">שרטוט מספר 1: התפלגות מקרים לפי קטגוריות </w:t>
      </w:r>
    </w:p>
    <w:p w14:paraId="56A93F13" w14:textId="77777777" w:rsidR="006D2131" w:rsidRPr="005F3228" w:rsidRDefault="001E6E6D" w:rsidP="006D2131">
      <w:pPr>
        <w:spacing w:line="300" w:lineRule="exact"/>
        <w:jc w:val="both"/>
        <w:rPr>
          <w:rFonts w:ascii="David" w:hAnsi="David" w:cs="David"/>
          <w:sz w:val="24"/>
          <w:szCs w:val="24"/>
          <w:rtl/>
        </w:rPr>
      </w:pPr>
      <w:r w:rsidRPr="005F3228">
        <w:rPr>
          <w:rFonts w:ascii="David" w:hAnsi="David" w:cs="David" w:hint="cs"/>
          <w:sz w:val="24"/>
          <w:szCs w:val="24"/>
          <w:rtl/>
        </w:rPr>
        <w:t>כעולה מן הטבלה ומ</w:t>
      </w:r>
      <w:r w:rsidR="00F84389" w:rsidRPr="005F3228">
        <w:rPr>
          <w:rFonts w:ascii="David" w:hAnsi="David" w:cs="David" w:hint="cs"/>
          <w:sz w:val="24"/>
          <w:szCs w:val="24"/>
          <w:rtl/>
        </w:rPr>
        <w:t>שרטוט</w:t>
      </w:r>
      <w:r w:rsidR="00F215A5" w:rsidRPr="005F3228">
        <w:rPr>
          <w:rFonts w:ascii="David" w:hAnsi="David" w:cs="David"/>
          <w:sz w:val="24"/>
          <w:szCs w:val="24"/>
          <w:rtl/>
        </w:rPr>
        <w:t xml:space="preserve"> </w:t>
      </w:r>
      <w:r w:rsidR="0016578E" w:rsidRPr="005F3228">
        <w:rPr>
          <w:rFonts w:ascii="David" w:hAnsi="David" w:cs="David" w:hint="cs"/>
          <w:sz w:val="24"/>
          <w:szCs w:val="24"/>
          <w:rtl/>
        </w:rPr>
        <w:t>מס. 1</w:t>
      </w:r>
      <w:r w:rsidR="00F215A5" w:rsidRPr="005F3228">
        <w:rPr>
          <w:rFonts w:ascii="David" w:hAnsi="David" w:cs="David"/>
          <w:sz w:val="24"/>
          <w:szCs w:val="24"/>
          <w:rtl/>
        </w:rPr>
        <w:t xml:space="preserve">, מספר </w:t>
      </w:r>
      <w:r w:rsidR="00A8014C" w:rsidRPr="005F3228">
        <w:rPr>
          <w:rFonts w:ascii="David" w:hAnsi="David" w:cs="David" w:hint="cs"/>
          <w:sz w:val="24"/>
          <w:szCs w:val="24"/>
          <w:rtl/>
        </w:rPr>
        <w:t>המק</w:t>
      </w:r>
      <w:r w:rsidR="002E75D9" w:rsidRPr="005F3228">
        <w:rPr>
          <w:rFonts w:ascii="David" w:hAnsi="David" w:cs="David" w:hint="cs"/>
          <w:sz w:val="24"/>
          <w:szCs w:val="24"/>
          <w:rtl/>
        </w:rPr>
        <w:t>רי</w:t>
      </w:r>
      <w:r w:rsidR="00A8014C" w:rsidRPr="005F3228">
        <w:rPr>
          <w:rFonts w:ascii="David" w:hAnsi="David" w:cs="David" w:hint="cs"/>
          <w:sz w:val="24"/>
          <w:szCs w:val="24"/>
          <w:rtl/>
        </w:rPr>
        <w:t>ם</w:t>
      </w:r>
      <w:r w:rsidR="00F215A5" w:rsidRPr="005F3228">
        <w:rPr>
          <w:rFonts w:ascii="David" w:hAnsi="David" w:cs="David"/>
          <w:sz w:val="24"/>
          <w:szCs w:val="24"/>
          <w:rtl/>
        </w:rPr>
        <w:t xml:space="preserve"> דמויי </w:t>
      </w:r>
      <w:proofErr w:type="spellStart"/>
      <w:r w:rsidR="00F215A5" w:rsidRPr="005F3228">
        <w:rPr>
          <w:rFonts w:ascii="David" w:hAnsi="David" w:cs="David"/>
          <w:sz w:val="24"/>
          <w:szCs w:val="24"/>
          <w:rtl/>
        </w:rPr>
        <w:t>א.ש.י.ר</w:t>
      </w:r>
      <w:proofErr w:type="spellEnd"/>
      <w:r w:rsidR="00F215A5" w:rsidRPr="005F3228">
        <w:rPr>
          <w:rFonts w:ascii="David" w:hAnsi="David" w:cs="David"/>
          <w:sz w:val="24"/>
          <w:szCs w:val="24"/>
          <w:rtl/>
        </w:rPr>
        <w:t>.</w:t>
      </w:r>
      <w:r w:rsidRPr="005F3228">
        <w:rPr>
          <w:rFonts w:ascii="David" w:hAnsi="David" w:cs="David" w:hint="cs"/>
          <w:sz w:val="24"/>
          <w:szCs w:val="24"/>
          <w:rtl/>
        </w:rPr>
        <w:t xml:space="preserve"> </w:t>
      </w:r>
      <w:r w:rsidR="00F215A5" w:rsidRPr="005F3228">
        <w:rPr>
          <w:rFonts w:ascii="David" w:hAnsi="David" w:cs="David"/>
          <w:sz w:val="24"/>
          <w:szCs w:val="24"/>
          <w:rtl/>
        </w:rPr>
        <w:t xml:space="preserve">הוא </w:t>
      </w:r>
      <w:r w:rsidR="0016578E" w:rsidRPr="005F3228">
        <w:rPr>
          <w:rFonts w:ascii="David" w:hAnsi="David" w:cs="David" w:hint="cs"/>
          <w:sz w:val="24"/>
          <w:szCs w:val="24"/>
          <w:rtl/>
        </w:rPr>
        <w:t>2</w:t>
      </w:r>
      <w:r w:rsidR="009A4454" w:rsidRPr="005F3228">
        <w:rPr>
          <w:rFonts w:ascii="David" w:hAnsi="David" w:cs="David" w:hint="cs"/>
          <w:sz w:val="24"/>
          <w:szCs w:val="24"/>
          <w:rtl/>
        </w:rPr>
        <w:t>4</w:t>
      </w:r>
      <w:r w:rsidR="00F215A5" w:rsidRPr="005F3228">
        <w:rPr>
          <w:rFonts w:ascii="David" w:hAnsi="David" w:cs="David"/>
          <w:sz w:val="24"/>
          <w:szCs w:val="24"/>
          <w:rtl/>
        </w:rPr>
        <w:t xml:space="preserve"> מתוך </w:t>
      </w:r>
      <w:r w:rsidR="00C006BD" w:rsidRPr="005F3228">
        <w:rPr>
          <w:rFonts w:ascii="David" w:hAnsi="David" w:cs="David" w:hint="cs"/>
          <w:sz w:val="24"/>
          <w:szCs w:val="24"/>
          <w:rtl/>
        </w:rPr>
        <w:t>430</w:t>
      </w:r>
      <w:r w:rsidR="00F215A5" w:rsidRPr="005F3228">
        <w:rPr>
          <w:rFonts w:ascii="David" w:hAnsi="David" w:cs="David"/>
          <w:sz w:val="24"/>
          <w:szCs w:val="24"/>
          <w:rtl/>
        </w:rPr>
        <w:t xml:space="preserve"> </w:t>
      </w:r>
      <w:r w:rsidR="002E75D9" w:rsidRPr="005F3228">
        <w:rPr>
          <w:rFonts w:ascii="David" w:hAnsi="David" w:cs="David" w:hint="cs"/>
          <w:sz w:val="24"/>
          <w:szCs w:val="24"/>
          <w:rtl/>
        </w:rPr>
        <w:t>המקרים</w:t>
      </w:r>
      <w:r w:rsidR="00F215A5" w:rsidRPr="005F3228">
        <w:rPr>
          <w:rFonts w:ascii="David" w:hAnsi="David" w:cs="David"/>
          <w:sz w:val="24"/>
          <w:szCs w:val="24"/>
          <w:rtl/>
        </w:rPr>
        <w:t xml:space="preserve"> שנכללו במאגר, כלומר </w:t>
      </w:r>
      <w:r w:rsidR="006D2131" w:rsidRPr="005F3228">
        <w:rPr>
          <w:rFonts w:ascii="David" w:hAnsi="David" w:cs="David" w:hint="cs"/>
          <w:sz w:val="24"/>
          <w:szCs w:val="24"/>
          <w:rtl/>
        </w:rPr>
        <w:t>כ</w:t>
      </w:r>
      <w:r w:rsidR="00F215A5" w:rsidRPr="005F3228">
        <w:rPr>
          <w:rFonts w:ascii="David" w:hAnsi="David" w:cs="David"/>
          <w:sz w:val="24"/>
          <w:szCs w:val="24"/>
          <w:rtl/>
        </w:rPr>
        <w:t xml:space="preserve">– </w:t>
      </w:r>
      <w:r w:rsidR="006D2131" w:rsidRPr="005F3228">
        <w:rPr>
          <w:rFonts w:ascii="David" w:hAnsi="David" w:cs="David" w:hint="cs"/>
          <w:sz w:val="24"/>
          <w:szCs w:val="24"/>
          <w:rtl/>
        </w:rPr>
        <w:t>5.</w:t>
      </w:r>
      <w:r w:rsidR="00575F10" w:rsidRPr="005F3228">
        <w:rPr>
          <w:rFonts w:ascii="David" w:hAnsi="David" w:cs="David" w:hint="cs"/>
          <w:sz w:val="24"/>
          <w:szCs w:val="24"/>
          <w:rtl/>
        </w:rPr>
        <w:t>6</w:t>
      </w:r>
      <w:r w:rsidR="006D2131" w:rsidRPr="005F3228">
        <w:rPr>
          <w:rFonts w:ascii="David" w:hAnsi="David" w:cs="David" w:hint="cs"/>
          <w:sz w:val="24"/>
          <w:szCs w:val="24"/>
          <w:rtl/>
        </w:rPr>
        <w:t>%</w:t>
      </w:r>
      <w:r w:rsidR="00F215A5" w:rsidRPr="005F3228">
        <w:rPr>
          <w:rFonts w:ascii="David" w:hAnsi="David" w:cs="David"/>
          <w:sz w:val="24"/>
          <w:szCs w:val="24"/>
          <w:rtl/>
        </w:rPr>
        <w:t xml:space="preserve">. </w:t>
      </w:r>
      <w:r w:rsidR="00C54B31" w:rsidRPr="005F3228">
        <w:rPr>
          <w:rFonts w:ascii="David" w:hAnsi="David" w:cs="David" w:hint="cs"/>
          <w:sz w:val="24"/>
          <w:szCs w:val="24"/>
          <w:rtl/>
        </w:rPr>
        <w:t xml:space="preserve">בבדיקת התפלגות </w:t>
      </w:r>
      <w:r w:rsidR="002E75D9" w:rsidRPr="005F3228">
        <w:rPr>
          <w:rFonts w:ascii="David" w:hAnsi="David" w:cs="David" w:hint="cs"/>
          <w:sz w:val="24"/>
          <w:szCs w:val="24"/>
          <w:rtl/>
        </w:rPr>
        <w:t>המקרים</w:t>
      </w:r>
      <w:r w:rsidR="00C54B31" w:rsidRPr="005F3228">
        <w:rPr>
          <w:rFonts w:ascii="David" w:hAnsi="David" w:cs="David"/>
          <w:sz w:val="24"/>
          <w:szCs w:val="24"/>
          <w:rtl/>
        </w:rPr>
        <w:t xml:space="preserve"> דמויי </w:t>
      </w:r>
      <w:proofErr w:type="spellStart"/>
      <w:r w:rsidR="00C54B31" w:rsidRPr="005F3228">
        <w:rPr>
          <w:rFonts w:ascii="David" w:hAnsi="David" w:cs="David"/>
          <w:sz w:val="24"/>
          <w:szCs w:val="24"/>
          <w:rtl/>
        </w:rPr>
        <w:t>א.ש.י.ר</w:t>
      </w:r>
      <w:proofErr w:type="spellEnd"/>
      <w:r w:rsidR="00C54B31" w:rsidRPr="005F3228">
        <w:rPr>
          <w:rFonts w:ascii="David" w:hAnsi="David" w:cs="David"/>
          <w:sz w:val="24"/>
          <w:szCs w:val="24"/>
          <w:rtl/>
        </w:rPr>
        <w:t xml:space="preserve">. לאורך </w:t>
      </w:r>
      <w:r w:rsidR="00C54B31" w:rsidRPr="005F3228">
        <w:rPr>
          <w:rFonts w:ascii="David" w:hAnsi="David" w:cs="David" w:hint="cs"/>
          <w:sz w:val="24"/>
          <w:szCs w:val="24"/>
          <w:rtl/>
        </w:rPr>
        <w:t xml:space="preserve">תקופת המחקר לא עולה מגמה </w:t>
      </w:r>
      <w:r w:rsidR="006D2131" w:rsidRPr="005F3228">
        <w:rPr>
          <w:rFonts w:ascii="David" w:hAnsi="David" w:cs="David" w:hint="cs"/>
          <w:sz w:val="24"/>
          <w:szCs w:val="24"/>
          <w:rtl/>
        </w:rPr>
        <w:t>מובהקת</w:t>
      </w:r>
      <w:r w:rsidR="00C54B31" w:rsidRPr="005F3228">
        <w:rPr>
          <w:rFonts w:ascii="David" w:hAnsi="David" w:cs="David" w:hint="cs"/>
          <w:sz w:val="24"/>
          <w:szCs w:val="24"/>
          <w:rtl/>
        </w:rPr>
        <w:t xml:space="preserve"> של עליה או ירידה ב"שימוש" בהלכת </w:t>
      </w:r>
      <w:proofErr w:type="spellStart"/>
      <w:r w:rsidR="00C54B31" w:rsidRPr="005F3228">
        <w:rPr>
          <w:rFonts w:ascii="David" w:hAnsi="David" w:cs="David" w:hint="cs"/>
          <w:sz w:val="24"/>
          <w:szCs w:val="24"/>
          <w:rtl/>
        </w:rPr>
        <w:t>א.ש.י.ר</w:t>
      </w:r>
      <w:proofErr w:type="spellEnd"/>
      <w:r w:rsidR="00C54B31" w:rsidRPr="005F3228">
        <w:rPr>
          <w:rFonts w:ascii="David" w:hAnsi="David" w:cs="David" w:hint="cs"/>
          <w:sz w:val="24"/>
          <w:szCs w:val="24"/>
          <w:rtl/>
        </w:rPr>
        <w:t>. לאורך השנים, ונראה כי</w:t>
      </w:r>
      <w:r w:rsidR="00C54B31" w:rsidRPr="005F3228">
        <w:rPr>
          <w:rFonts w:ascii="David" w:hAnsi="David" w:cs="David"/>
          <w:sz w:val="24"/>
          <w:szCs w:val="24"/>
          <w:rtl/>
        </w:rPr>
        <w:t xml:space="preserve"> פסקי הדין </w:t>
      </w:r>
      <w:r w:rsidR="002E75D9" w:rsidRPr="005F3228">
        <w:rPr>
          <w:rFonts w:ascii="David" w:hAnsi="David" w:cs="David" w:hint="cs"/>
          <w:sz w:val="24"/>
          <w:szCs w:val="24"/>
          <w:rtl/>
        </w:rPr>
        <w:t xml:space="preserve">וההחלטות </w:t>
      </w:r>
      <w:r w:rsidR="00C54B31" w:rsidRPr="005F3228">
        <w:rPr>
          <w:rFonts w:ascii="David" w:hAnsi="David" w:cs="David"/>
          <w:sz w:val="24"/>
          <w:szCs w:val="24"/>
          <w:rtl/>
        </w:rPr>
        <w:t xml:space="preserve">דמויי </w:t>
      </w:r>
      <w:proofErr w:type="spellStart"/>
      <w:r w:rsidR="00C54B31" w:rsidRPr="005F3228">
        <w:rPr>
          <w:rFonts w:ascii="David" w:hAnsi="David" w:cs="David"/>
          <w:sz w:val="24"/>
          <w:szCs w:val="24"/>
          <w:rtl/>
        </w:rPr>
        <w:t>א.ש.י.ר</w:t>
      </w:r>
      <w:proofErr w:type="spellEnd"/>
      <w:r w:rsidR="00C54B31" w:rsidRPr="005F3228">
        <w:rPr>
          <w:rFonts w:ascii="David" w:hAnsi="David" w:cs="David"/>
          <w:sz w:val="24"/>
          <w:szCs w:val="24"/>
          <w:rtl/>
        </w:rPr>
        <w:t>. פזורים על פני עשרים השנים האחרונות באופן אחיד</w:t>
      </w:r>
      <w:r w:rsidR="00C54B31" w:rsidRPr="005F3228">
        <w:rPr>
          <w:rFonts w:ascii="David" w:hAnsi="David" w:cs="David" w:hint="cs"/>
          <w:sz w:val="24"/>
          <w:szCs w:val="24"/>
          <w:rtl/>
        </w:rPr>
        <w:t xml:space="preserve"> למדי</w:t>
      </w:r>
      <w:r w:rsidR="00E66293" w:rsidRPr="005F3228">
        <w:rPr>
          <w:rFonts w:ascii="David" w:hAnsi="David" w:cs="David" w:hint="cs"/>
          <w:sz w:val="24"/>
          <w:szCs w:val="24"/>
          <w:rtl/>
        </w:rPr>
        <w:t>, כעולה משרטוט מספר 2 להלן:</w:t>
      </w:r>
    </w:p>
    <w:p w14:paraId="35E59B5D" w14:textId="77777777" w:rsidR="006F107B" w:rsidRPr="005F3228" w:rsidRDefault="006F107B" w:rsidP="006F107B">
      <w:pPr>
        <w:pStyle w:val="ListParagraph"/>
        <w:ind w:left="1080"/>
        <w:jc w:val="both"/>
        <w:rPr>
          <w:rFonts w:ascii="David" w:hAnsi="David" w:cs="David"/>
          <w:b/>
          <w:bCs/>
          <w:sz w:val="24"/>
          <w:szCs w:val="24"/>
          <w:u w:val="single"/>
        </w:rPr>
      </w:pPr>
    </w:p>
    <w:p w14:paraId="448601FF" w14:textId="77777777" w:rsidR="006F107B" w:rsidRPr="005F3228" w:rsidRDefault="006F107B" w:rsidP="009F1F66">
      <w:pPr>
        <w:pStyle w:val="ListParagraph"/>
        <w:ind w:left="656"/>
        <w:jc w:val="both"/>
        <w:rPr>
          <w:rFonts w:ascii="David" w:hAnsi="David" w:cs="David"/>
          <w:b/>
          <w:bCs/>
          <w:sz w:val="24"/>
          <w:szCs w:val="24"/>
          <w:u w:val="single"/>
          <w:rtl/>
        </w:rPr>
      </w:pPr>
      <w:r w:rsidRPr="005F3228">
        <w:rPr>
          <w:rFonts w:ascii="David" w:hAnsi="David" w:cs="David"/>
          <w:b/>
          <w:bCs/>
          <w:noProof/>
          <w:sz w:val="24"/>
          <w:szCs w:val="24"/>
          <w:u w:val="single"/>
        </w:rPr>
        <w:drawing>
          <wp:inline distT="0" distB="0" distL="0" distR="0" wp14:anchorId="6853ACDE" wp14:editId="6D1BA700">
            <wp:extent cx="4260273" cy="2755900"/>
            <wp:effectExtent l="0" t="0" r="6985" b="635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1087" cy="2762895"/>
                    </a:xfrm>
                    <a:prstGeom prst="rect">
                      <a:avLst/>
                    </a:prstGeom>
                    <a:noFill/>
                  </pic:spPr>
                </pic:pic>
              </a:graphicData>
            </a:graphic>
          </wp:inline>
        </w:drawing>
      </w:r>
    </w:p>
    <w:p w14:paraId="64076ADA" w14:textId="77777777" w:rsidR="00C54B31" w:rsidRPr="005F3228" w:rsidRDefault="00E66293" w:rsidP="005C348C">
      <w:pPr>
        <w:spacing w:line="300" w:lineRule="exact"/>
        <w:jc w:val="both"/>
        <w:rPr>
          <w:rFonts w:ascii="David" w:hAnsi="David" w:cs="David"/>
          <w:sz w:val="24"/>
          <w:szCs w:val="24"/>
          <w:rtl/>
        </w:rPr>
      </w:pPr>
      <w:r w:rsidRPr="005F3228">
        <w:rPr>
          <w:rFonts w:ascii="David" w:hAnsi="David" w:cs="David" w:hint="cs"/>
          <w:sz w:val="24"/>
          <w:szCs w:val="24"/>
          <w:rtl/>
        </w:rPr>
        <w:t xml:space="preserve">שרטוט מספר 2: </w:t>
      </w:r>
      <w:r w:rsidR="00640DB2" w:rsidRPr="005F3228">
        <w:rPr>
          <w:rFonts w:ascii="David" w:hAnsi="David" w:cs="David" w:hint="cs"/>
          <w:sz w:val="24"/>
          <w:szCs w:val="24"/>
          <w:rtl/>
        </w:rPr>
        <w:t xml:space="preserve">התפלגות </w:t>
      </w:r>
      <w:r w:rsidR="002E75D9" w:rsidRPr="005F3228">
        <w:rPr>
          <w:rFonts w:ascii="David" w:hAnsi="David" w:cs="David" w:hint="cs"/>
          <w:sz w:val="24"/>
          <w:szCs w:val="24"/>
          <w:rtl/>
        </w:rPr>
        <w:t>המקרים</w:t>
      </w:r>
      <w:r w:rsidRPr="005F3228">
        <w:rPr>
          <w:rFonts w:ascii="David" w:hAnsi="David" w:cs="David" w:hint="cs"/>
          <w:sz w:val="24"/>
          <w:szCs w:val="24"/>
          <w:rtl/>
        </w:rPr>
        <w:t xml:space="preserve"> דמויי </w:t>
      </w:r>
      <w:proofErr w:type="spellStart"/>
      <w:r w:rsidRPr="005F3228">
        <w:rPr>
          <w:rFonts w:ascii="David" w:hAnsi="David" w:cs="David" w:hint="cs"/>
          <w:sz w:val="24"/>
          <w:szCs w:val="24"/>
          <w:rtl/>
        </w:rPr>
        <w:t>א.ש.י.ר</w:t>
      </w:r>
      <w:proofErr w:type="spellEnd"/>
      <w:r w:rsidRPr="005F3228">
        <w:rPr>
          <w:rFonts w:ascii="David" w:hAnsi="David" w:cs="David" w:hint="cs"/>
          <w:sz w:val="24"/>
          <w:szCs w:val="24"/>
          <w:rtl/>
        </w:rPr>
        <w:t>. לאורך תקופת המחקר</w:t>
      </w:r>
      <w:bookmarkStart w:id="41" w:name="_Hlk28197330"/>
      <w:r w:rsidR="006D2131" w:rsidRPr="005F3228">
        <w:rPr>
          <w:rFonts w:ascii="David" w:hAnsi="David" w:cs="David" w:hint="cs"/>
          <w:sz w:val="24"/>
          <w:szCs w:val="24"/>
          <w:rtl/>
        </w:rPr>
        <w:t>.</w:t>
      </w:r>
    </w:p>
    <w:bookmarkEnd w:id="41"/>
    <w:p w14:paraId="0B9B1786" w14:textId="77777777" w:rsidR="00B47817" w:rsidRPr="005F3228" w:rsidRDefault="0016578E" w:rsidP="00FB41C9">
      <w:pPr>
        <w:spacing w:line="300" w:lineRule="exact"/>
        <w:jc w:val="both"/>
        <w:rPr>
          <w:rFonts w:ascii="David" w:hAnsi="David" w:cs="David"/>
          <w:sz w:val="24"/>
          <w:szCs w:val="24"/>
          <w:rtl/>
        </w:rPr>
      </w:pPr>
      <w:r w:rsidRPr="005F3228">
        <w:rPr>
          <w:rFonts w:ascii="David" w:hAnsi="David" w:cs="David" w:hint="cs"/>
          <w:sz w:val="24"/>
          <w:szCs w:val="24"/>
          <w:rtl/>
        </w:rPr>
        <w:t xml:space="preserve">נדון במשמעות </w:t>
      </w:r>
      <w:r w:rsidR="00F215A5" w:rsidRPr="005F3228">
        <w:rPr>
          <w:rFonts w:ascii="David" w:hAnsi="David" w:cs="David"/>
          <w:sz w:val="24"/>
          <w:szCs w:val="24"/>
          <w:rtl/>
        </w:rPr>
        <w:t>ממצא</w:t>
      </w:r>
      <w:r w:rsidR="00C54B31" w:rsidRPr="005F3228">
        <w:rPr>
          <w:rFonts w:ascii="David" w:hAnsi="David" w:cs="David" w:hint="cs"/>
          <w:sz w:val="24"/>
          <w:szCs w:val="24"/>
          <w:rtl/>
        </w:rPr>
        <w:t>י</w:t>
      </w:r>
      <w:r w:rsidR="007471B9" w:rsidRPr="005F3228">
        <w:rPr>
          <w:rFonts w:ascii="David" w:hAnsi="David" w:cs="David" w:hint="cs"/>
          <w:sz w:val="24"/>
          <w:szCs w:val="24"/>
          <w:rtl/>
        </w:rPr>
        <w:t>ם</w:t>
      </w:r>
      <w:r w:rsidR="00C54B31" w:rsidRPr="005F3228">
        <w:rPr>
          <w:rFonts w:ascii="David" w:hAnsi="David" w:cs="David" w:hint="cs"/>
          <w:sz w:val="24"/>
          <w:szCs w:val="24"/>
          <w:rtl/>
        </w:rPr>
        <w:t xml:space="preserve"> אלה</w:t>
      </w:r>
      <w:r w:rsidR="00F215A5" w:rsidRPr="005F3228">
        <w:rPr>
          <w:rFonts w:ascii="David" w:hAnsi="David" w:cs="David"/>
          <w:sz w:val="24"/>
          <w:szCs w:val="24"/>
          <w:rtl/>
        </w:rPr>
        <w:t xml:space="preserve"> </w:t>
      </w:r>
      <w:r w:rsidRPr="005F3228">
        <w:rPr>
          <w:rFonts w:ascii="David" w:hAnsi="David" w:cs="David" w:hint="cs"/>
          <w:sz w:val="24"/>
          <w:szCs w:val="24"/>
          <w:rtl/>
        </w:rPr>
        <w:t xml:space="preserve">בחלק </w:t>
      </w:r>
      <w:r w:rsidR="00D42076" w:rsidRPr="005F3228">
        <w:rPr>
          <w:rFonts w:ascii="David" w:hAnsi="David" w:cs="David" w:hint="cs"/>
          <w:sz w:val="24"/>
          <w:szCs w:val="24"/>
          <w:rtl/>
        </w:rPr>
        <w:t>ד</w:t>
      </w:r>
      <w:r w:rsidRPr="005F3228">
        <w:rPr>
          <w:rFonts w:ascii="David" w:hAnsi="David" w:cs="David" w:hint="cs"/>
          <w:sz w:val="24"/>
          <w:szCs w:val="24"/>
          <w:rtl/>
        </w:rPr>
        <w:t>' להלן.</w:t>
      </w:r>
      <w:r w:rsidR="00F215A5" w:rsidRPr="005F3228">
        <w:rPr>
          <w:rFonts w:ascii="David" w:hAnsi="David" w:cs="David"/>
          <w:sz w:val="24"/>
          <w:szCs w:val="24"/>
          <w:rtl/>
        </w:rPr>
        <w:t xml:space="preserve"> </w:t>
      </w:r>
    </w:p>
    <w:p w14:paraId="57E2197D" w14:textId="77777777" w:rsidR="00FB41C9" w:rsidRPr="005F3228" w:rsidRDefault="00FB41C9" w:rsidP="00FB41C9">
      <w:pPr>
        <w:spacing w:line="300" w:lineRule="exact"/>
        <w:jc w:val="both"/>
        <w:rPr>
          <w:rFonts w:ascii="David" w:hAnsi="David" w:cs="David"/>
          <w:sz w:val="24"/>
          <w:szCs w:val="24"/>
          <w:rtl/>
        </w:rPr>
      </w:pPr>
    </w:p>
    <w:p w14:paraId="17F8B7E4" w14:textId="77777777" w:rsidR="001E12A1" w:rsidRPr="005F3228" w:rsidRDefault="000C2AE9" w:rsidP="00A0492B">
      <w:pPr>
        <w:pStyle w:val="ListParagraph"/>
        <w:numPr>
          <w:ilvl w:val="0"/>
          <w:numId w:val="8"/>
        </w:numPr>
        <w:spacing w:line="300" w:lineRule="exact"/>
        <w:ind w:left="296"/>
        <w:jc w:val="both"/>
        <w:rPr>
          <w:rFonts w:ascii="David" w:hAnsi="David" w:cs="David"/>
          <w:b/>
          <w:bCs/>
          <w:sz w:val="24"/>
          <w:szCs w:val="24"/>
          <w:rtl/>
        </w:rPr>
      </w:pPr>
      <w:r w:rsidRPr="005F3228">
        <w:rPr>
          <w:rFonts w:ascii="David" w:hAnsi="David" w:cs="David" w:hint="cs"/>
          <w:b/>
          <w:bCs/>
          <w:sz w:val="24"/>
          <w:szCs w:val="24"/>
          <w:rtl/>
        </w:rPr>
        <w:t xml:space="preserve">הלכת </w:t>
      </w:r>
      <w:proofErr w:type="spellStart"/>
      <w:r w:rsidRPr="005F3228">
        <w:rPr>
          <w:rFonts w:ascii="David" w:hAnsi="David" w:cs="David" w:hint="cs"/>
          <w:b/>
          <w:bCs/>
          <w:sz w:val="24"/>
          <w:szCs w:val="24"/>
          <w:rtl/>
        </w:rPr>
        <w:t>א.ש.י.ר</w:t>
      </w:r>
      <w:proofErr w:type="spellEnd"/>
      <w:r w:rsidRPr="005F3228">
        <w:rPr>
          <w:rFonts w:ascii="David" w:hAnsi="David" w:cs="David" w:hint="cs"/>
          <w:b/>
          <w:bCs/>
          <w:sz w:val="24"/>
          <w:szCs w:val="24"/>
          <w:rtl/>
        </w:rPr>
        <w:t xml:space="preserve"> </w:t>
      </w:r>
      <w:r w:rsidR="007471B9" w:rsidRPr="005F3228">
        <w:rPr>
          <w:rFonts w:ascii="David" w:hAnsi="David" w:cs="David" w:hint="cs"/>
          <w:b/>
          <w:bCs/>
          <w:sz w:val="24"/>
          <w:szCs w:val="24"/>
          <w:rtl/>
        </w:rPr>
        <w:t>ב</w:t>
      </w:r>
      <w:r w:rsidRPr="005F3228">
        <w:rPr>
          <w:rFonts w:ascii="David" w:hAnsi="David" w:cs="David" w:hint="cs"/>
          <w:b/>
          <w:bCs/>
          <w:sz w:val="24"/>
          <w:szCs w:val="24"/>
          <w:rtl/>
        </w:rPr>
        <w:t>בתי המשפט השונים</w:t>
      </w:r>
    </w:p>
    <w:p w14:paraId="3BB35363" w14:textId="77777777" w:rsidR="00F215A5" w:rsidRPr="005F3228" w:rsidRDefault="001E6E6D" w:rsidP="005C348C">
      <w:pPr>
        <w:spacing w:line="300" w:lineRule="exact"/>
        <w:jc w:val="both"/>
        <w:rPr>
          <w:rFonts w:ascii="David" w:hAnsi="David" w:cs="David"/>
          <w:sz w:val="24"/>
          <w:szCs w:val="24"/>
          <w:rtl/>
        </w:rPr>
      </w:pPr>
      <w:r w:rsidRPr="005F3228">
        <w:rPr>
          <w:rFonts w:ascii="David" w:hAnsi="David" w:cs="David" w:hint="cs"/>
          <w:sz w:val="24"/>
          <w:szCs w:val="24"/>
          <w:rtl/>
        </w:rPr>
        <w:t>נוסף על התמונה הכללית, ב</w:t>
      </w:r>
      <w:r w:rsidR="00F215A5" w:rsidRPr="005F3228">
        <w:rPr>
          <w:rFonts w:ascii="David" w:hAnsi="David" w:cs="David"/>
          <w:sz w:val="24"/>
          <w:szCs w:val="24"/>
          <w:rtl/>
        </w:rPr>
        <w:t xml:space="preserve">חנו את אופן ההתפלגות של פסקי הדין </w:t>
      </w:r>
      <w:r w:rsidR="001427C8" w:rsidRPr="005F3228">
        <w:rPr>
          <w:rFonts w:ascii="David" w:hAnsi="David" w:cs="David" w:hint="cs"/>
          <w:sz w:val="24"/>
          <w:szCs w:val="24"/>
          <w:rtl/>
        </w:rPr>
        <w:t xml:space="preserve">וההחלטות </w:t>
      </w:r>
      <w:r w:rsidR="00F215A5" w:rsidRPr="005F3228">
        <w:rPr>
          <w:rFonts w:ascii="David" w:hAnsi="David" w:cs="David"/>
          <w:sz w:val="24"/>
          <w:szCs w:val="24"/>
          <w:rtl/>
        </w:rPr>
        <w:t>לקטגוריות האמורות בכל אחד מן המחוזות ובבית המשפט העליון. מ</w:t>
      </w:r>
      <w:r w:rsidRPr="005F3228">
        <w:rPr>
          <w:rFonts w:ascii="David" w:hAnsi="David" w:cs="David" w:hint="cs"/>
          <w:sz w:val="24"/>
          <w:szCs w:val="24"/>
          <w:rtl/>
        </w:rPr>
        <w:t xml:space="preserve">מצאי בדיקה זו מתוארים בטבלה מספר 2, ובשרטוטים </w:t>
      </w:r>
      <w:r w:rsidR="00640DB2" w:rsidRPr="005F3228">
        <w:rPr>
          <w:rFonts w:ascii="David" w:hAnsi="David" w:cs="David" w:hint="cs"/>
          <w:sz w:val="24"/>
          <w:szCs w:val="24"/>
          <w:rtl/>
        </w:rPr>
        <w:t>3</w:t>
      </w:r>
      <w:r w:rsidRPr="005F3228">
        <w:rPr>
          <w:rFonts w:ascii="David" w:hAnsi="David" w:cs="David" w:hint="cs"/>
          <w:sz w:val="24"/>
          <w:szCs w:val="24"/>
          <w:rtl/>
        </w:rPr>
        <w:t>-</w:t>
      </w:r>
      <w:r w:rsidR="00640DB2" w:rsidRPr="005F3228">
        <w:rPr>
          <w:rFonts w:ascii="David" w:hAnsi="David" w:cs="David" w:hint="cs"/>
          <w:sz w:val="24"/>
          <w:szCs w:val="24"/>
          <w:rtl/>
        </w:rPr>
        <w:t>9</w:t>
      </w:r>
      <w:r w:rsidRPr="005F3228">
        <w:rPr>
          <w:rFonts w:ascii="David" w:hAnsi="David" w:cs="David" w:hint="cs"/>
          <w:sz w:val="24"/>
          <w:szCs w:val="24"/>
          <w:rtl/>
        </w:rPr>
        <w:t xml:space="preserve"> להלן:</w:t>
      </w:r>
    </w:p>
    <w:tbl>
      <w:tblPr>
        <w:tblStyle w:val="TableGrid"/>
        <w:bidiVisual/>
        <w:tblW w:w="0" w:type="auto"/>
        <w:tblLook w:val="04A0" w:firstRow="1" w:lastRow="0" w:firstColumn="1" w:lastColumn="0" w:noHBand="0" w:noVBand="1"/>
      </w:tblPr>
      <w:tblGrid>
        <w:gridCol w:w="967"/>
        <w:gridCol w:w="900"/>
        <w:gridCol w:w="963"/>
        <w:gridCol w:w="675"/>
        <w:gridCol w:w="768"/>
        <w:gridCol w:w="764"/>
        <w:gridCol w:w="1014"/>
        <w:gridCol w:w="789"/>
        <w:gridCol w:w="728"/>
        <w:gridCol w:w="728"/>
      </w:tblGrid>
      <w:tr w:rsidR="001E6E6D" w:rsidRPr="005F3228" w14:paraId="66546513" w14:textId="77777777" w:rsidTr="001E6E6D">
        <w:tc>
          <w:tcPr>
            <w:tcW w:w="661" w:type="dxa"/>
          </w:tcPr>
          <w:p w14:paraId="6992C139"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hint="cs"/>
                <w:sz w:val="24"/>
                <w:szCs w:val="24"/>
                <w:rtl/>
              </w:rPr>
              <w:lastRenderedPageBreak/>
              <w:t>קטגוריה</w:t>
            </w:r>
          </w:p>
        </w:tc>
        <w:tc>
          <w:tcPr>
            <w:tcW w:w="968" w:type="dxa"/>
          </w:tcPr>
          <w:p w14:paraId="3E0B93C1" w14:textId="77777777" w:rsidR="001E6E6D" w:rsidRPr="005F3228" w:rsidRDefault="001E6E6D" w:rsidP="001E6E6D">
            <w:pPr>
              <w:spacing w:line="300" w:lineRule="exact"/>
              <w:jc w:val="both"/>
              <w:rPr>
                <w:rFonts w:ascii="David" w:hAnsi="David" w:cs="David"/>
                <w:sz w:val="24"/>
                <w:szCs w:val="24"/>
                <w:rtl/>
              </w:rPr>
            </w:pPr>
            <w:r w:rsidRPr="005F3228">
              <w:rPr>
                <w:rFonts w:ascii="David" w:hAnsi="David" w:cs="David" w:hint="cs"/>
                <w:sz w:val="24"/>
                <w:szCs w:val="24"/>
                <w:rtl/>
              </w:rPr>
              <w:t>קניין רוחני</w:t>
            </w:r>
          </w:p>
        </w:tc>
        <w:tc>
          <w:tcPr>
            <w:tcW w:w="1028" w:type="dxa"/>
          </w:tcPr>
          <w:p w14:paraId="5D302A1B" w14:textId="77777777" w:rsidR="001E6E6D" w:rsidRPr="005F3228" w:rsidRDefault="001E6E6D" w:rsidP="001E6E6D">
            <w:pPr>
              <w:spacing w:line="300" w:lineRule="exact"/>
              <w:jc w:val="both"/>
              <w:rPr>
                <w:rFonts w:ascii="David" w:hAnsi="David" w:cs="David"/>
                <w:sz w:val="24"/>
                <w:szCs w:val="24"/>
                <w:rtl/>
              </w:rPr>
            </w:pPr>
            <w:r w:rsidRPr="005F3228">
              <w:rPr>
                <w:rFonts w:ascii="David" w:hAnsi="David" w:cs="David" w:hint="cs"/>
                <w:sz w:val="24"/>
                <w:szCs w:val="24"/>
                <w:rtl/>
              </w:rPr>
              <w:t>עשיית עושר</w:t>
            </w:r>
          </w:p>
          <w:p w14:paraId="1BCC233B" w14:textId="77777777" w:rsidR="001E6E6D" w:rsidRPr="005F3228" w:rsidRDefault="001E6E6D" w:rsidP="001E6E6D">
            <w:pPr>
              <w:spacing w:line="300" w:lineRule="exact"/>
              <w:jc w:val="both"/>
              <w:rPr>
                <w:rFonts w:ascii="David" w:hAnsi="David" w:cs="David"/>
                <w:sz w:val="24"/>
                <w:szCs w:val="24"/>
                <w:rtl/>
              </w:rPr>
            </w:pPr>
          </w:p>
        </w:tc>
        <w:tc>
          <w:tcPr>
            <w:tcW w:w="683" w:type="dxa"/>
          </w:tcPr>
          <w:p w14:paraId="0170449C" w14:textId="77777777" w:rsidR="001E6E6D" w:rsidRPr="005F3228" w:rsidRDefault="001E6E6D" w:rsidP="00F215A5">
            <w:pPr>
              <w:spacing w:line="300" w:lineRule="exact"/>
              <w:jc w:val="both"/>
              <w:rPr>
                <w:rFonts w:ascii="David" w:hAnsi="David" w:cs="David"/>
                <w:b/>
                <w:bCs/>
                <w:sz w:val="24"/>
                <w:szCs w:val="24"/>
                <w:rtl/>
              </w:rPr>
            </w:pPr>
            <w:r w:rsidRPr="005F3228">
              <w:rPr>
                <w:rFonts w:ascii="David" w:hAnsi="David" w:cs="David"/>
                <w:b/>
                <w:bCs/>
                <w:sz w:val="24"/>
                <w:szCs w:val="24"/>
                <w:rtl/>
              </w:rPr>
              <w:t>עליון</w:t>
            </w:r>
          </w:p>
        </w:tc>
        <w:tc>
          <w:tcPr>
            <w:tcW w:w="803" w:type="dxa"/>
          </w:tcPr>
          <w:p w14:paraId="4B04D4A9" w14:textId="77777777" w:rsidR="001E6E6D" w:rsidRPr="005F3228" w:rsidRDefault="001E6E6D" w:rsidP="00F215A5">
            <w:pPr>
              <w:spacing w:line="300" w:lineRule="exact"/>
              <w:jc w:val="both"/>
              <w:rPr>
                <w:rFonts w:ascii="David" w:hAnsi="David" w:cs="David"/>
                <w:b/>
                <w:bCs/>
                <w:sz w:val="24"/>
                <w:szCs w:val="24"/>
                <w:rtl/>
              </w:rPr>
            </w:pPr>
            <w:r w:rsidRPr="005F3228">
              <w:rPr>
                <w:rFonts w:ascii="David" w:hAnsi="David" w:cs="David"/>
                <w:b/>
                <w:bCs/>
                <w:sz w:val="24"/>
                <w:szCs w:val="24"/>
                <w:rtl/>
              </w:rPr>
              <w:t>תל אביב</w:t>
            </w:r>
          </w:p>
        </w:tc>
        <w:tc>
          <w:tcPr>
            <w:tcW w:w="795" w:type="dxa"/>
          </w:tcPr>
          <w:p w14:paraId="135F35E2" w14:textId="77777777" w:rsidR="001E6E6D" w:rsidRPr="005F3228" w:rsidRDefault="001E6E6D" w:rsidP="00F215A5">
            <w:pPr>
              <w:spacing w:line="300" w:lineRule="exact"/>
              <w:jc w:val="both"/>
              <w:rPr>
                <w:rFonts w:ascii="David" w:hAnsi="David" w:cs="David"/>
                <w:b/>
                <w:bCs/>
                <w:sz w:val="24"/>
                <w:szCs w:val="24"/>
                <w:rtl/>
              </w:rPr>
            </w:pPr>
            <w:r w:rsidRPr="005F3228">
              <w:rPr>
                <w:rFonts w:ascii="David" w:hAnsi="David" w:cs="David"/>
                <w:b/>
                <w:bCs/>
                <w:sz w:val="24"/>
                <w:szCs w:val="24"/>
                <w:rtl/>
              </w:rPr>
              <w:t>מרכז</w:t>
            </w:r>
          </w:p>
        </w:tc>
        <w:tc>
          <w:tcPr>
            <w:tcW w:w="1026" w:type="dxa"/>
          </w:tcPr>
          <w:p w14:paraId="46A2DFEA" w14:textId="77777777" w:rsidR="001E6E6D" w:rsidRPr="005F3228" w:rsidRDefault="001E6E6D" w:rsidP="00F215A5">
            <w:pPr>
              <w:spacing w:line="300" w:lineRule="exact"/>
              <w:jc w:val="both"/>
              <w:rPr>
                <w:rFonts w:ascii="David" w:hAnsi="David" w:cs="David"/>
                <w:b/>
                <w:bCs/>
                <w:sz w:val="24"/>
                <w:szCs w:val="24"/>
                <w:rtl/>
              </w:rPr>
            </w:pPr>
            <w:r w:rsidRPr="005F3228">
              <w:rPr>
                <w:rFonts w:ascii="David" w:hAnsi="David" w:cs="David"/>
                <w:b/>
                <w:bCs/>
                <w:sz w:val="24"/>
                <w:szCs w:val="24"/>
                <w:rtl/>
              </w:rPr>
              <w:t>ירושלים</w:t>
            </w:r>
          </w:p>
        </w:tc>
        <w:tc>
          <w:tcPr>
            <w:tcW w:w="820" w:type="dxa"/>
          </w:tcPr>
          <w:p w14:paraId="7174F26A" w14:textId="77777777" w:rsidR="001E6E6D" w:rsidRPr="005F3228" w:rsidRDefault="001E6E6D" w:rsidP="00F215A5">
            <w:pPr>
              <w:spacing w:line="300" w:lineRule="exact"/>
              <w:jc w:val="both"/>
              <w:rPr>
                <w:rFonts w:ascii="David" w:hAnsi="David" w:cs="David"/>
                <w:b/>
                <w:bCs/>
                <w:sz w:val="24"/>
                <w:szCs w:val="24"/>
                <w:rtl/>
              </w:rPr>
            </w:pPr>
            <w:r w:rsidRPr="005F3228">
              <w:rPr>
                <w:rFonts w:ascii="David" w:hAnsi="David" w:cs="David"/>
                <w:b/>
                <w:bCs/>
                <w:sz w:val="24"/>
                <w:szCs w:val="24"/>
                <w:rtl/>
              </w:rPr>
              <w:t>חיפה</w:t>
            </w:r>
          </w:p>
        </w:tc>
        <w:tc>
          <w:tcPr>
            <w:tcW w:w="762" w:type="dxa"/>
          </w:tcPr>
          <w:p w14:paraId="2E84C79E" w14:textId="77777777" w:rsidR="001E6E6D" w:rsidRPr="005F3228" w:rsidRDefault="001E6E6D" w:rsidP="00F215A5">
            <w:pPr>
              <w:spacing w:line="300" w:lineRule="exact"/>
              <w:jc w:val="both"/>
              <w:rPr>
                <w:rFonts w:ascii="David" w:hAnsi="David" w:cs="David"/>
                <w:b/>
                <w:bCs/>
                <w:sz w:val="24"/>
                <w:szCs w:val="24"/>
                <w:rtl/>
              </w:rPr>
            </w:pPr>
            <w:r w:rsidRPr="005F3228">
              <w:rPr>
                <w:rFonts w:ascii="David" w:hAnsi="David" w:cs="David"/>
                <w:b/>
                <w:bCs/>
                <w:sz w:val="24"/>
                <w:szCs w:val="24"/>
                <w:rtl/>
              </w:rPr>
              <w:t>צפון</w:t>
            </w:r>
          </w:p>
        </w:tc>
        <w:tc>
          <w:tcPr>
            <w:tcW w:w="750" w:type="dxa"/>
          </w:tcPr>
          <w:p w14:paraId="36EABCA9" w14:textId="77777777" w:rsidR="001E6E6D" w:rsidRPr="005F3228" w:rsidRDefault="001E6E6D" w:rsidP="00F215A5">
            <w:pPr>
              <w:spacing w:line="300" w:lineRule="exact"/>
              <w:jc w:val="both"/>
              <w:rPr>
                <w:rFonts w:ascii="David" w:hAnsi="David" w:cs="David"/>
                <w:b/>
                <w:bCs/>
                <w:sz w:val="24"/>
                <w:szCs w:val="24"/>
                <w:rtl/>
              </w:rPr>
            </w:pPr>
            <w:r w:rsidRPr="005F3228">
              <w:rPr>
                <w:rFonts w:ascii="David" w:hAnsi="David" w:cs="David"/>
                <w:b/>
                <w:bCs/>
                <w:sz w:val="24"/>
                <w:szCs w:val="24"/>
                <w:rtl/>
              </w:rPr>
              <w:t>דרום</w:t>
            </w:r>
          </w:p>
        </w:tc>
      </w:tr>
      <w:tr w:rsidR="001E6E6D" w:rsidRPr="005F3228" w14:paraId="66025AAD" w14:textId="77777777" w:rsidTr="001E6E6D">
        <w:tc>
          <w:tcPr>
            <w:tcW w:w="661" w:type="dxa"/>
          </w:tcPr>
          <w:p w14:paraId="4EB68742"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hint="cs"/>
                <w:sz w:val="24"/>
                <w:szCs w:val="24"/>
                <w:rtl/>
              </w:rPr>
              <w:t>1</w:t>
            </w:r>
          </w:p>
        </w:tc>
        <w:tc>
          <w:tcPr>
            <w:tcW w:w="968" w:type="dxa"/>
          </w:tcPr>
          <w:p w14:paraId="4B6FC465"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hint="cs"/>
                <w:sz w:val="24"/>
                <w:szCs w:val="24"/>
                <w:rtl/>
              </w:rPr>
              <w:t xml:space="preserve">כן </w:t>
            </w:r>
          </w:p>
        </w:tc>
        <w:tc>
          <w:tcPr>
            <w:tcW w:w="1028" w:type="dxa"/>
          </w:tcPr>
          <w:p w14:paraId="19CE333B"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hint="cs"/>
                <w:sz w:val="24"/>
                <w:szCs w:val="24"/>
                <w:rtl/>
              </w:rPr>
              <w:t>כן</w:t>
            </w:r>
          </w:p>
        </w:tc>
        <w:tc>
          <w:tcPr>
            <w:tcW w:w="683" w:type="dxa"/>
          </w:tcPr>
          <w:p w14:paraId="16901E6D" w14:textId="77777777" w:rsidR="001E6E6D" w:rsidRPr="005F3228" w:rsidRDefault="007A398C" w:rsidP="00F215A5">
            <w:pPr>
              <w:spacing w:line="300" w:lineRule="exact"/>
              <w:jc w:val="both"/>
              <w:rPr>
                <w:rFonts w:ascii="David" w:hAnsi="David" w:cs="David"/>
                <w:sz w:val="24"/>
                <w:szCs w:val="24"/>
                <w:rtl/>
              </w:rPr>
            </w:pPr>
            <w:r w:rsidRPr="005F3228">
              <w:rPr>
                <w:rFonts w:ascii="David" w:hAnsi="David" w:cs="David" w:hint="cs"/>
                <w:sz w:val="24"/>
                <w:szCs w:val="24"/>
                <w:rtl/>
              </w:rPr>
              <w:t>7</w:t>
            </w:r>
            <w:r w:rsidR="001E6E6D" w:rsidRPr="005F3228">
              <w:rPr>
                <w:rFonts w:ascii="David" w:hAnsi="David" w:cs="David"/>
                <w:sz w:val="24"/>
                <w:szCs w:val="24"/>
                <w:rtl/>
              </w:rPr>
              <w:t>%</w:t>
            </w:r>
          </w:p>
        </w:tc>
        <w:tc>
          <w:tcPr>
            <w:tcW w:w="803" w:type="dxa"/>
          </w:tcPr>
          <w:p w14:paraId="31EBF3B8" w14:textId="77777777" w:rsidR="001E6E6D" w:rsidRPr="005F3228" w:rsidRDefault="007709DD" w:rsidP="00F215A5">
            <w:pPr>
              <w:spacing w:line="300" w:lineRule="exact"/>
              <w:jc w:val="both"/>
              <w:rPr>
                <w:rFonts w:ascii="David" w:hAnsi="David" w:cs="David"/>
                <w:sz w:val="24"/>
                <w:szCs w:val="24"/>
                <w:rtl/>
              </w:rPr>
            </w:pPr>
            <w:r w:rsidRPr="005F3228">
              <w:rPr>
                <w:rFonts w:ascii="David" w:hAnsi="David" w:cs="David" w:hint="cs"/>
                <w:sz w:val="24"/>
                <w:szCs w:val="24"/>
                <w:rtl/>
              </w:rPr>
              <w:t>9</w:t>
            </w:r>
            <w:r w:rsidR="001E6E6D" w:rsidRPr="005F3228">
              <w:rPr>
                <w:rFonts w:ascii="David" w:hAnsi="David" w:cs="David"/>
                <w:sz w:val="24"/>
                <w:szCs w:val="24"/>
                <w:rtl/>
              </w:rPr>
              <w:t>%</w:t>
            </w:r>
          </w:p>
        </w:tc>
        <w:tc>
          <w:tcPr>
            <w:tcW w:w="795" w:type="dxa"/>
          </w:tcPr>
          <w:p w14:paraId="43F1B58E" w14:textId="77777777" w:rsidR="001E6E6D" w:rsidRPr="005F3228" w:rsidRDefault="00810178" w:rsidP="00F215A5">
            <w:pPr>
              <w:spacing w:line="300" w:lineRule="exact"/>
              <w:jc w:val="both"/>
              <w:rPr>
                <w:rFonts w:ascii="David" w:hAnsi="David" w:cs="David"/>
                <w:sz w:val="24"/>
                <w:szCs w:val="24"/>
                <w:rtl/>
              </w:rPr>
            </w:pPr>
            <w:r w:rsidRPr="005F3228">
              <w:rPr>
                <w:rFonts w:ascii="David" w:hAnsi="David" w:cs="David" w:hint="cs"/>
                <w:sz w:val="24"/>
                <w:szCs w:val="24"/>
                <w:rtl/>
              </w:rPr>
              <w:t>9</w:t>
            </w:r>
            <w:r w:rsidR="001E6E6D" w:rsidRPr="005F3228">
              <w:rPr>
                <w:rFonts w:ascii="David" w:hAnsi="David" w:cs="David"/>
                <w:sz w:val="24"/>
                <w:szCs w:val="24"/>
                <w:rtl/>
              </w:rPr>
              <w:t>%</w:t>
            </w:r>
          </w:p>
        </w:tc>
        <w:tc>
          <w:tcPr>
            <w:tcW w:w="1026" w:type="dxa"/>
          </w:tcPr>
          <w:p w14:paraId="2ACEEF04" w14:textId="77777777" w:rsidR="001E6E6D" w:rsidRPr="005F3228" w:rsidRDefault="00025123" w:rsidP="00F215A5">
            <w:pPr>
              <w:spacing w:line="300" w:lineRule="exact"/>
              <w:jc w:val="both"/>
              <w:rPr>
                <w:rFonts w:ascii="David" w:hAnsi="David" w:cs="David"/>
                <w:sz w:val="24"/>
                <w:szCs w:val="24"/>
                <w:rtl/>
              </w:rPr>
            </w:pPr>
            <w:r w:rsidRPr="005F3228">
              <w:rPr>
                <w:rFonts w:ascii="David" w:hAnsi="David" w:cs="David" w:hint="cs"/>
                <w:sz w:val="24"/>
                <w:szCs w:val="24"/>
                <w:rtl/>
              </w:rPr>
              <w:t>3</w:t>
            </w:r>
            <w:r w:rsidR="001E6E6D" w:rsidRPr="005F3228">
              <w:rPr>
                <w:rFonts w:ascii="David" w:hAnsi="David" w:cs="David"/>
                <w:sz w:val="24"/>
                <w:szCs w:val="24"/>
                <w:rtl/>
              </w:rPr>
              <w:t>%</w:t>
            </w:r>
          </w:p>
        </w:tc>
        <w:tc>
          <w:tcPr>
            <w:tcW w:w="820" w:type="dxa"/>
          </w:tcPr>
          <w:p w14:paraId="5FB42B8B" w14:textId="77777777" w:rsidR="001E6E6D" w:rsidRPr="005F3228" w:rsidRDefault="0080355A" w:rsidP="00F215A5">
            <w:pPr>
              <w:spacing w:line="300" w:lineRule="exact"/>
              <w:jc w:val="both"/>
              <w:rPr>
                <w:rFonts w:ascii="David" w:hAnsi="David" w:cs="David"/>
                <w:sz w:val="24"/>
                <w:szCs w:val="24"/>
                <w:rtl/>
              </w:rPr>
            </w:pPr>
            <w:r w:rsidRPr="005F3228">
              <w:rPr>
                <w:rFonts w:ascii="David" w:hAnsi="David" w:cs="David" w:hint="cs"/>
                <w:sz w:val="24"/>
                <w:szCs w:val="24"/>
                <w:rtl/>
              </w:rPr>
              <w:t>11</w:t>
            </w:r>
            <w:r w:rsidR="001E6E6D" w:rsidRPr="005F3228">
              <w:rPr>
                <w:rFonts w:ascii="David" w:hAnsi="David" w:cs="David"/>
                <w:sz w:val="24"/>
                <w:szCs w:val="24"/>
                <w:rtl/>
              </w:rPr>
              <w:t>%</w:t>
            </w:r>
          </w:p>
        </w:tc>
        <w:tc>
          <w:tcPr>
            <w:tcW w:w="762" w:type="dxa"/>
          </w:tcPr>
          <w:p w14:paraId="1DF74B17" w14:textId="77777777" w:rsidR="001E6E6D" w:rsidRPr="005F3228" w:rsidRDefault="00DC2B2F" w:rsidP="00F215A5">
            <w:pPr>
              <w:spacing w:line="300" w:lineRule="exact"/>
              <w:jc w:val="both"/>
              <w:rPr>
                <w:rFonts w:ascii="David" w:hAnsi="David" w:cs="David"/>
                <w:sz w:val="24"/>
                <w:szCs w:val="24"/>
                <w:rtl/>
              </w:rPr>
            </w:pPr>
            <w:r w:rsidRPr="005F3228">
              <w:rPr>
                <w:rFonts w:ascii="David" w:hAnsi="David" w:cs="David" w:hint="cs"/>
                <w:sz w:val="24"/>
                <w:szCs w:val="24"/>
                <w:rtl/>
              </w:rPr>
              <w:t>8</w:t>
            </w:r>
            <w:r w:rsidR="001E6E6D" w:rsidRPr="005F3228">
              <w:rPr>
                <w:rFonts w:ascii="David" w:hAnsi="David" w:cs="David"/>
                <w:sz w:val="24"/>
                <w:szCs w:val="24"/>
                <w:rtl/>
              </w:rPr>
              <w:t>%</w:t>
            </w:r>
          </w:p>
        </w:tc>
        <w:tc>
          <w:tcPr>
            <w:tcW w:w="750" w:type="dxa"/>
          </w:tcPr>
          <w:p w14:paraId="330871CB"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sz w:val="24"/>
                <w:szCs w:val="24"/>
                <w:rtl/>
              </w:rPr>
              <w:t>28%</w:t>
            </w:r>
          </w:p>
        </w:tc>
      </w:tr>
      <w:tr w:rsidR="001E6E6D" w:rsidRPr="005F3228" w14:paraId="10D43D30" w14:textId="77777777" w:rsidTr="001E6E6D">
        <w:tc>
          <w:tcPr>
            <w:tcW w:w="661" w:type="dxa"/>
          </w:tcPr>
          <w:p w14:paraId="035D8833"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hint="cs"/>
                <w:sz w:val="24"/>
                <w:szCs w:val="24"/>
                <w:rtl/>
              </w:rPr>
              <w:t>2</w:t>
            </w:r>
          </w:p>
        </w:tc>
        <w:tc>
          <w:tcPr>
            <w:tcW w:w="968" w:type="dxa"/>
          </w:tcPr>
          <w:p w14:paraId="363ECED7"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hint="cs"/>
                <w:sz w:val="24"/>
                <w:szCs w:val="24"/>
                <w:rtl/>
              </w:rPr>
              <w:t xml:space="preserve">לא </w:t>
            </w:r>
          </w:p>
        </w:tc>
        <w:tc>
          <w:tcPr>
            <w:tcW w:w="1028" w:type="dxa"/>
          </w:tcPr>
          <w:p w14:paraId="2291DE6E" w14:textId="77777777" w:rsidR="001E6E6D" w:rsidRPr="005F3228" w:rsidRDefault="001E6E6D" w:rsidP="001E6E6D">
            <w:pPr>
              <w:spacing w:line="300" w:lineRule="exact"/>
              <w:jc w:val="both"/>
              <w:rPr>
                <w:rFonts w:ascii="David" w:hAnsi="David" w:cs="David"/>
                <w:sz w:val="24"/>
                <w:szCs w:val="24"/>
                <w:rtl/>
              </w:rPr>
            </w:pPr>
            <w:r w:rsidRPr="005F3228">
              <w:rPr>
                <w:rFonts w:ascii="David" w:hAnsi="David" w:cs="David"/>
                <w:sz w:val="24"/>
                <w:szCs w:val="24"/>
                <w:rtl/>
              </w:rPr>
              <w:t xml:space="preserve">לא </w:t>
            </w:r>
          </w:p>
        </w:tc>
        <w:tc>
          <w:tcPr>
            <w:tcW w:w="683" w:type="dxa"/>
          </w:tcPr>
          <w:p w14:paraId="510EF102" w14:textId="77777777" w:rsidR="001E6E6D" w:rsidRPr="005F3228" w:rsidRDefault="001E6E6D" w:rsidP="00802924">
            <w:pPr>
              <w:spacing w:line="300" w:lineRule="exact"/>
              <w:jc w:val="both"/>
              <w:rPr>
                <w:rFonts w:ascii="David" w:hAnsi="David" w:cs="David"/>
                <w:sz w:val="24"/>
                <w:szCs w:val="24"/>
                <w:rtl/>
              </w:rPr>
            </w:pPr>
            <w:r w:rsidRPr="005F3228">
              <w:rPr>
                <w:rFonts w:ascii="David" w:hAnsi="David" w:cs="David"/>
                <w:sz w:val="24"/>
                <w:szCs w:val="24"/>
                <w:rtl/>
              </w:rPr>
              <w:t>5</w:t>
            </w:r>
            <w:r w:rsidR="007A398C" w:rsidRPr="005F3228">
              <w:rPr>
                <w:rFonts w:ascii="David" w:hAnsi="David" w:cs="David" w:hint="cs"/>
                <w:sz w:val="24"/>
                <w:szCs w:val="24"/>
                <w:rtl/>
              </w:rPr>
              <w:t>7</w:t>
            </w:r>
            <w:r w:rsidRPr="005F3228">
              <w:rPr>
                <w:rFonts w:ascii="David" w:hAnsi="David" w:cs="David"/>
                <w:sz w:val="24"/>
                <w:szCs w:val="24"/>
                <w:rtl/>
              </w:rPr>
              <w:t>%</w:t>
            </w:r>
          </w:p>
        </w:tc>
        <w:tc>
          <w:tcPr>
            <w:tcW w:w="803" w:type="dxa"/>
          </w:tcPr>
          <w:p w14:paraId="4540CBC4"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sz w:val="24"/>
                <w:szCs w:val="24"/>
                <w:rtl/>
              </w:rPr>
              <w:t>4</w:t>
            </w:r>
            <w:r w:rsidR="007709DD" w:rsidRPr="005F3228">
              <w:rPr>
                <w:rFonts w:ascii="David" w:hAnsi="David" w:cs="David" w:hint="cs"/>
                <w:sz w:val="24"/>
                <w:szCs w:val="24"/>
                <w:rtl/>
              </w:rPr>
              <w:t>4</w:t>
            </w:r>
            <w:r w:rsidRPr="005F3228">
              <w:rPr>
                <w:rFonts w:ascii="David" w:hAnsi="David" w:cs="David"/>
                <w:sz w:val="24"/>
                <w:szCs w:val="24"/>
                <w:rtl/>
              </w:rPr>
              <w:t>%</w:t>
            </w:r>
          </w:p>
        </w:tc>
        <w:tc>
          <w:tcPr>
            <w:tcW w:w="795" w:type="dxa"/>
          </w:tcPr>
          <w:p w14:paraId="61D60993" w14:textId="77777777" w:rsidR="001E6E6D" w:rsidRPr="005F3228" w:rsidRDefault="00810178" w:rsidP="00802924">
            <w:pPr>
              <w:spacing w:line="300" w:lineRule="exact"/>
              <w:jc w:val="both"/>
              <w:rPr>
                <w:rFonts w:ascii="David" w:hAnsi="David" w:cs="David"/>
                <w:sz w:val="24"/>
                <w:szCs w:val="24"/>
                <w:rtl/>
              </w:rPr>
            </w:pPr>
            <w:r w:rsidRPr="005F3228">
              <w:rPr>
                <w:rFonts w:ascii="David" w:hAnsi="David" w:cs="David" w:hint="cs"/>
                <w:sz w:val="24"/>
                <w:szCs w:val="24"/>
                <w:rtl/>
              </w:rPr>
              <w:t>54</w:t>
            </w:r>
            <w:r w:rsidR="001E6E6D" w:rsidRPr="005F3228">
              <w:rPr>
                <w:rFonts w:ascii="David" w:hAnsi="David" w:cs="David"/>
                <w:sz w:val="24"/>
                <w:szCs w:val="24"/>
                <w:rtl/>
              </w:rPr>
              <w:t>%</w:t>
            </w:r>
          </w:p>
        </w:tc>
        <w:tc>
          <w:tcPr>
            <w:tcW w:w="1026" w:type="dxa"/>
          </w:tcPr>
          <w:p w14:paraId="6B3A3167" w14:textId="77777777" w:rsidR="001E6E6D" w:rsidRPr="005F3228" w:rsidRDefault="0080355A" w:rsidP="00F215A5">
            <w:pPr>
              <w:spacing w:line="300" w:lineRule="exact"/>
              <w:jc w:val="both"/>
              <w:rPr>
                <w:rFonts w:ascii="David" w:hAnsi="David" w:cs="David"/>
                <w:sz w:val="24"/>
                <w:szCs w:val="24"/>
                <w:rtl/>
              </w:rPr>
            </w:pPr>
            <w:r w:rsidRPr="005F3228">
              <w:rPr>
                <w:rFonts w:ascii="David" w:hAnsi="David" w:cs="David" w:hint="cs"/>
                <w:sz w:val="24"/>
                <w:szCs w:val="24"/>
                <w:rtl/>
              </w:rPr>
              <w:t>4</w:t>
            </w:r>
            <w:r w:rsidR="00025123" w:rsidRPr="005F3228">
              <w:rPr>
                <w:rFonts w:ascii="David" w:hAnsi="David" w:cs="David" w:hint="cs"/>
                <w:sz w:val="24"/>
                <w:szCs w:val="24"/>
                <w:rtl/>
              </w:rPr>
              <w:t>3</w:t>
            </w:r>
            <w:r w:rsidR="001E6E6D" w:rsidRPr="005F3228">
              <w:rPr>
                <w:rFonts w:ascii="David" w:hAnsi="David" w:cs="David"/>
                <w:sz w:val="24"/>
                <w:szCs w:val="24"/>
                <w:rtl/>
              </w:rPr>
              <w:t>%</w:t>
            </w:r>
          </w:p>
        </w:tc>
        <w:tc>
          <w:tcPr>
            <w:tcW w:w="820" w:type="dxa"/>
          </w:tcPr>
          <w:p w14:paraId="328636ED" w14:textId="77777777" w:rsidR="001E6E6D" w:rsidRPr="005F3228" w:rsidRDefault="001E6E6D" w:rsidP="0080355A">
            <w:pPr>
              <w:spacing w:line="300" w:lineRule="exact"/>
              <w:jc w:val="both"/>
              <w:rPr>
                <w:rFonts w:ascii="David" w:hAnsi="David" w:cs="David"/>
                <w:sz w:val="24"/>
                <w:szCs w:val="24"/>
                <w:rtl/>
              </w:rPr>
            </w:pPr>
            <w:r w:rsidRPr="005F3228">
              <w:rPr>
                <w:rFonts w:ascii="David" w:hAnsi="David" w:cs="David"/>
                <w:sz w:val="24"/>
                <w:szCs w:val="24"/>
                <w:rtl/>
              </w:rPr>
              <w:t>4</w:t>
            </w:r>
            <w:r w:rsidR="00F81E64" w:rsidRPr="005F3228">
              <w:rPr>
                <w:rFonts w:ascii="David" w:hAnsi="David" w:cs="David" w:hint="cs"/>
                <w:sz w:val="24"/>
                <w:szCs w:val="24"/>
                <w:rtl/>
              </w:rPr>
              <w:t>7</w:t>
            </w:r>
            <w:r w:rsidRPr="005F3228">
              <w:rPr>
                <w:rFonts w:ascii="David" w:hAnsi="David" w:cs="David"/>
                <w:sz w:val="24"/>
                <w:szCs w:val="24"/>
                <w:rtl/>
              </w:rPr>
              <w:t>%</w:t>
            </w:r>
          </w:p>
        </w:tc>
        <w:tc>
          <w:tcPr>
            <w:tcW w:w="762" w:type="dxa"/>
          </w:tcPr>
          <w:p w14:paraId="61F5FB56" w14:textId="77777777" w:rsidR="001E6E6D" w:rsidRPr="005F3228" w:rsidRDefault="00DC2B2F" w:rsidP="00F215A5">
            <w:pPr>
              <w:spacing w:line="300" w:lineRule="exact"/>
              <w:jc w:val="both"/>
              <w:rPr>
                <w:rFonts w:ascii="David" w:hAnsi="David" w:cs="David"/>
                <w:sz w:val="24"/>
                <w:szCs w:val="24"/>
                <w:rtl/>
              </w:rPr>
            </w:pPr>
            <w:r w:rsidRPr="005F3228">
              <w:rPr>
                <w:rFonts w:ascii="David" w:hAnsi="David" w:cs="David" w:hint="cs"/>
                <w:sz w:val="24"/>
                <w:szCs w:val="24"/>
                <w:rtl/>
              </w:rPr>
              <w:t>4</w:t>
            </w:r>
            <w:r w:rsidR="001E6E6D" w:rsidRPr="005F3228">
              <w:rPr>
                <w:rFonts w:ascii="David" w:hAnsi="David" w:cs="David"/>
                <w:sz w:val="24"/>
                <w:szCs w:val="24"/>
                <w:rtl/>
              </w:rPr>
              <w:t>6%</w:t>
            </w:r>
          </w:p>
        </w:tc>
        <w:tc>
          <w:tcPr>
            <w:tcW w:w="750" w:type="dxa"/>
          </w:tcPr>
          <w:p w14:paraId="34B7F8E5"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sz w:val="24"/>
                <w:szCs w:val="24"/>
                <w:rtl/>
              </w:rPr>
              <w:t>29%</w:t>
            </w:r>
          </w:p>
        </w:tc>
      </w:tr>
      <w:tr w:rsidR="001E6E6D" w:rsidRPr="005F3228" w14:paraId="719DB4FB" w14:textId="77777777" w:rsidTr="001E6E6D">
        <w:tc>
          <w:tcPr>
            <w:tcW w:w="661" w:type="dxa"/>
          </w:tcPr>
          <w:p w14:paraId="393C25AB"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hint="cs"/>
                <w:sz w:val="24"/>
                <w:szCs w:val="24"/>
                <w:rtl/>
              </w:rPr>
              <w:t>3</w:t>
            </w:r>
          </w:p>
        </w:tc>
        <w:tc>
          <w:tcPr>
            <w:tcW w:w="968" w:type="dxa"/>
          </w:tcPr>
          <w:p w14:paraId="537DD2AF"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hint="cs"/>
                <w:sz w:val="24"/>
                <w:szCs w:val="24"/>
                <w:rtl/>
              </w:rPr>
              <w:t>כן</w:t>
            </w:r>
          </w:p>
        </w:tc>
        <w:tc>
          <w:tcPr>
            <w:tcW w:w="1028" w:type="dxa"/>
          </w:tcPr>
          <w:p w14:paraId="1D085AF1"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hint="cs"/>
                <w:sz w:val="24"/>
                <w:szCs w:val="24"/>
                <w:rtl/>
              </w:rPr>
              <w:t>לא</w:t>
            </w:r>
          </w:p>
        </w:tc>
        <w:tc>
          <w:tcPr>
            <w:tcW w:w="683" w:type="dxa"/>
          </w:tcPr>
          <w:p w14:paraId="6495A172" w14:textId="77777777" w:rsidR="001E6E6D" w:rsidRPr="005F3228" w:rsidRDefault="00802924" w:rsidP="00F215A5">
            <w:pPr>
              <w:spacing w:line="300" w:lineRule="exact"/>
              <w:jc w:val="both"/>
              <w:rPr>
                <w:rFonts w:ascii="David" w:hAnsi="David" w:cs="David"/>
                <w:sz w:val="24"/>
                <w:szCs w:val="24"/>
                <w:rtl/>
              </w:rPr>
            </w:pPr>
            <w:r w:rsidRPr="005F3228">
              <w:rPr>
                <w:rFonts w:ascii="David" w:hAnsi="David" w:cs="David" w:hint="cs"/>
                <w:sz w:val="24"/>
                <w:szCs w:val="24"/>
                <w:rtl/>
              </w:rPr>
              <w:t>3</w:t>
            </w:r>
            <w:r w:rsidR="007A398C" w:rsidRPr="005F3228">
              <w:rPr>
                <w:rFonts w:ascii="David" w:hAnsi="David" w:cs="David" w:hint="cs"/>
                <w:sz w:val="24"/>
                <w:szCs w:val="24"/>
                <w:rtl/>
              </w:rPr>
              <w:t>4</w:t>
            </w:r>
            <w:r w:rsidR="001E6E6D" w:rsidRPr="005F3228">
              <w:rPr>
                <w:rFonts w:ascii="David" w:hAnsi="David" w:cs="David"/>
                <w:sz w:val="24"/>
                <w:szCs w:val="24"/>
                <w:rtl/>
              </w:rPr>
              <w:t>%</w:t>
            </w:r>
          </w:p>
        </w:tc>
        <w:tc>
          <w:tcPr>
            <w:tcW w:w="803" w:type="dxa"/>
          </w:tcPr>
          <w:p w14:paraId="5B5F80B5"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sz w:val="24"/>
                <w:szCs w:val="24"/>
                <w:rtl/>
              </w:rPr>
              <w:t>4</w:t>
            </w:r>
            <w:r w:rsidR="007709DD" w:rsidRPr="005F3228">
              <w:rPr>
                <w:rFonts w:ascii="David" w:hAnsi="David" w:cs="David" w:hint="cs"/>
                <w:sz w:val="24"/>
                <w:szCs w:val="24"/>
                <w:rtl/>
              </w:rPr>
              <w:t>1</w:t>
            </w:r>
            <w:r w:rsidRPr="005F3228">
              <w:rPr>
                <w:rFonts w:ascii="David" w:hAnsi="David" w:cs="David"/>
                <w:sz w:val="24"/>
                <w:szCs w:val="24"/>
                <w:rtl/>
              </w:rPr>
              <w:t>%</w:t>
            </w:r>
          </w:p>
        </w:tc>
        <w:tc>
          <w:tcPr>
            <w:tcW w:w="795" w:type="dxa"/>
          </w:tcPr>
          <w:p w14:paraId="79D987FA" w14:textId="77777777" w:rsidR="001E6E6D" w:rsidRPr="005F3228" w:rsidRDefault="00810178" w:rsidP="00802924">
            <w:pPr>
              <w:spacing w:line="300" w:lineRule="exact"/>
              <w:jc w:val="both"/>
              <w:rPr>
                <w:rFonts w:ascii="David" w:hAnsi="David" w:cs="David"/>
                <w:sz w:val="24"/>
                <w:szCs w:val="24"/>
                <w:rtl/>
              </w:rPr>
            </w:pPr>
            <w:r w:rsidRPr="005F3228">
              <w:rPr>
                <w:rFonts w:ascii="David" w:hAnsi="David" w:cs="David" w:hint="cs"/>
                <w:sz w:val="24"/>
                <w:szCs w:val="24"/>
                <w:rtl/>
              </w:rPr>
              <w:t>31</w:t>
            </w:r>
            <w:r w:rsidR="001E6E6D" w:rsidRPr="005F3228">
              <w:rPr>
                <w:rFonts w:ascii="David" w:hAnsi="David" w:cs="David"/>
                <w:sz w:val="24"/>
                <w:szCs w:val="24"/>
                <w:rtl/>
              </w:rPr>
              <w:t>%</w:t>
            </w:r>
          </w:p>
        </w:tc>
        <w:tc>
          <w:tcPr>
            <w:tcW w:w="1026" w:type="dxa"/>
          </w:tcPr>
          <w:p w14:paraId="29427510" w14:textId="77777777" w:rsidR="001E6E6D" w:rsidRPr="005F3228" w:rsidRDefault="001E6E6D" w:rsidP="0080355A">
            <w:pPr>
              <w:spacing w:line="300" w:lineRule="exact"/>
              <w:jc w:val="both"/>
              <w:rPr>
                <w:rFonts w:ascii="David" w:hAnsi="David" w:cs="David"/>
                <w:sz w:val="24"/>
                <w:szCs w:val="24"/>
                <w:rtl/>
              </w:rPr>
            </w:pPr>
            <w:r w:rsidRPr="005F3228">
              <w:rPr>
                <w:rFonts w:ascii="David" w:hAnsi="David" w:cs="David"/>
                <w:sz w:val="24"/>
                <w:szCs w:val="24"/>
                <w:rtl/>
              </w:rPr>
              <w:t>4</w:t>
            </w:r>
            <w:r w:rsidR="00025123" w:rsidRPr="005F3228">
              <w:rPr>
                <w:rFonts w:ascii="David" w:hAnsi="David" w:cs="David" w:hint="cs"/>
                <w:sz w:val="24"/>
                <w:szCs w:val="24"/>
                <w:rtl/>
              </w:rPr>
              <w:t>3</w:t>
            </w:r>
            <w:r w:rsidRPr="005F3228">
              <w:rPr>
                <w:rFonts w:ascii="David" w:hAnsi="David" w:cs="David"/>
                <w:sz w:val="24"/>
                <w:szCs w:val="24"/>
                <w:rtl/>
              </w:rPr>
              <w:t>%</w:t>
            </w:r>
          </w:p>
        </w:tc>
        <w:tc>
          <w:tcPr>
            <w:tcW w:w="820" w:type="dxa"/>
          </w:tcPr>
          <w:p w14:paraId="7591A85F" w14:textId="77777777" w:rsidR="001E6E6D" w:rsidRPr="005F3228" w:rsidRDefault="0080355A" w:rsidP="00F215A5">
            <w:pPr>
              <w:spacing w:line="300" w:lineRule="exact"/>
              <w:jc w:val="both"/>
              <w:rPr>
                <w:rFonts w:ascii="David" w:hAnsi="David" w:cs="David"/>
                <w:sz w:val="24"/>
                <w:szCs w:val="24"/>
                <w:rtl/>
              </w:rPr>
            </w:pPr>
            <w:r w:rsidRPr="005F3228">
              <w:rPr>
                <w:rFonts w:ascii="David" w:hAnsi="David" w:cs="David" w:hint="cs"/>
                <w:sz w:val="24"/>
                <w:szCs w:val="24"/>
                <w:rtl/>
              </w:rPr>
              <w:t>3</w:t>
            </w:r>
            <w:r w:rsidR="00F81E64" w:rsidRPr="005F3228">
              <w:rPr>
                <w:rFonts w:ascii="David" w:hAnsi="David" w:cs="David" w:hint="cs"/>
                <w:sz w:val="24"/>
                <w:szCs w:val="24"/>
                <w:rtl/>
              </w:rPr>
              <w:t>7</w:t>
            </w:r>
            <w:r w:rsidR="001E6E6D" w:rsidRPr="005F3228">
              <w:rPr>
                <w:rFonts w:ascii="David" w:hAnsi="David" w:cs="David"/>
                <w:sz w:val="24"/>
                <w:szCs w:val="24"/>
                <w:rtl/>
              </w:rPr>
              <w:t>%</w:t>
            </w:r>
          </w:p>
        </w:tc>
        <w:tc>
          <w:tcPr>
            <w:tcW w:w="762" w:type="dxa"/>
          </w:tcPr>
          <w:p w14:paraId="6FF5423D" w14:textId="77777777" w:rsidR="001E6E6D" w:rsidRPr="005F3228" w:rsidRDefault="00DC2B2F" w:rsidP="00F215A5">
            <w:pPr>
              <w:spacing w:line="300" w:lineRule="exact"/>
              <w:jc w:val="both"/>
              <w:rPr>
                <w:rFonts w:ascii="David" w:hAnsi="David" w:cs="David"/>
                <w:sz w:val="24"/>
                <w:szCs w:val="24"/>
                <w:rtl/>
              </w:rPr>
            </w:pPr>
            <w:r w:rsidRPr="005F3228">
              <w:rPr>
                <w:rFonts w:ascii="David" w:hAnsi="David" w:cs="David" w:hint="cs"/>
                <w:sz w:val="24"/>
                <w:szCs w:val="24"/>
                <w:rtl/>
              </w:rPr>
              <w:t>46</w:t>
            </w:r>
            <w:r w:rsidR="001E6E6D" w:rsidRPr="005F3228">
              <w:rPr>
                <w:rFonts w:ascii="David" w:hAnsi="David" w:cs="David"/>
                <w:sz w:val="24"/>
                <w:szCs w:val="24"/>
                <w:rtl/>
              </w:rPr>
              <w:t>%</w:t>
            </w:r>
          </w:p>
        </w:tc>
        <w:tc>
          <w:tcPr>
            <w:tcW w:w="750" w:type="dxa"/>
          </w:tcPr>
          <w:p w14:paraId="2EFB1692"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sz w:val="24"/>
                <w:szCs w:val="24"/>
                <w:rtl/>
              </w:rPr>
              <w:t>43%</w:t>
            </w:r>
          </w:p>
        </w:tc>
      </w:tr>
      <w:tr w:rsidR="005C348C" w:rsidRPr="005F3228" w14:paraId="683CFA90" w14:textId="77777777" w:rsidTr="001E6E6D">
        <w:tc>
          <w:tcPr>
            <w:tcW w:w="661" w:type="dxa"/>
          </w:tcPr>
          <w:p w14:paraId="4A34E823"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hint="cs"/>
                <w:sz w:val="24"/>
                <w:szCs w:val="24"/>
                <w:rtl/>
              </w:rPr>
              <w:t>4</w:t>
            </w:r>
          </w:p>
        </w:tc>
        <w:tc>
          <w:tcPr>
            <w:tcW w:w="968" w:type="dxa"/>
          </w:tcPr>
          <w:p w14:paraId="6ABA505E"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hint="cs"/>
                <w:sz w:val="24"/>
                <w:szCs w:val="24"/>
                <w:rtl/>
              </w:rPr>
              <w:t xml:space="preserve">לא </w:t>
            </w:r>
          </w:p>
        </w:tc>
        <w:tc>
          <w:tcPr>
            <w:tcW w:w="1028" w:type="dxa"/>
          </w:tcPr>
          <w:p w14:paraId="08AA1532"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hint="cs"/>
                <w:sz w:val="24"/>
                <w:szCs w:val="24"/>
                <w:rtl/>
              </w:rPr>
              <w:t>כן</w:t>
            </w:r>
          </w:p>
        </w:tc>
        <w:tc>
          <w:tcPr>
            <w:tcW w:w="683" w:type="dxa"/>
          </w:tcPr>
          <w:p w14:paraId="7FFBD9FB" w14:textId="77777777" w:rsidR="001E6E6D" w:rsidRPr="005F3228" w:rsidRDefault="007A398C" w:rsidP="00F215A5">
            <w:pPr>
              <w:spacing w:line="300" w:lineRule="exact"/>
              <w:jc w:val="both"/>
              <w:rPr>
                <w:rFonts w:ascii="David" w:hAnsi="David" w:cs="David"/>
                <w:sz w:val="24"/>
                <w:szCs w:val="24"/>
                <w:rtl/>
              </w:rPr>
            </w:pPr>
            <w:r w:rsidRPr="005F3228">
              <w:rPr>
                <w:rFonts w:ascii="David" w:hAnsi="David" w:cs="David" w:hint="cs"/>
                <w:sz w:val="24"/>
                <w:szCs w:val="24"/>
                <w:rtl/>
              </w:rPr>
              <w:t>2</w:t>
            </w:r>
            <w:r w:rsidR="001E6E6D" w:rsidRPr="005F3228">
              <w:rPr>
                <w:rFonts w:ascii="David" w:hAnsi="David" w:cs="David"/>
                <w:sz w:val="24"/>
                <w:szCs w:val="24"/>
                <w:rtl/>
              </w:rPr>
              <w:t>%</w:t>
            </w:r>
          </w:p>
        </w:tc>
        <w:tc>
          <w:tcPr>
            <w:tcW w:w="803" w:type="dxa"/>
          </w:tcPr>
          <w:p w14:paraId="7BE66293" w14:textId="77777777" w:rsidR="001E6E6D" w:rsidRPr="005F3228" w:rsidRDefault="00802924" w:rsidP="00F215A5">
            <w:pPr>
              <w:spacing w:line="300" w:lineRule="exact"/>
              <w:jc w:val="both"/>
              <w:rPr>
                <w:rFonts w:ascii="David" w:hAnsi="David" w:cs="David"/>
                <w:sz w:val="24"/>
                <w:szCs w:val="24"/>
                <w:rtl/>
              </w:rPr>
            </w:pPr>
            <w:r w:rsidRPr="005F3228">
              <w:rPr>
                <w:rFonts w:ascii="David" w:hAnsi="David" w:cs="David" w:hint="cs"/>
                <w:sz w:val="24"/>
                <w:szCs w:val="24"/>
                <w:rtl/>
              </w:rPr>
              <w:t>6</w:t>
            </w:r>
            <w:r w:rsidR="001E6E6D" w:rsidRPr="005F3228">
              <w:rPr>
                <w:rFonts w:ascii="David" w:hAnsi="David" w:cs="David"/>
                <w:sz w:val="24"/>
                <w:szCs w:val="24"/>
                <w:rtl/>
              </w:rPr>
              <w:t>%</w:t>
            </w:r>
          </w:p>
        </w:tc>
        <w:tc>
          <w:tcPr>
            <w:tcW w:w="795" w:type="dxa"/>
          </w:tcPr>
          <w:p w14:paraId="50608CEC" w14:textId="77777777" w:rsidR="001E6E6D" w:rsidRPr="005F3228" w:rsidRDefault="00810178" w:rsidP="00F215A5">
            <w:pPr>
              <w:spacing w:line="300" w:lineRule="exact"/>
              <w:jc w:val="both"/>
              <w:rPr>
                <w:rFonts w:ascii="David" w:hAnsi="David" w:cs="David"/>
                <w:sz w:val="24"/>
                <w:szCs w:val="24"/>
                <w:rtl/>
              </w:rPr>
            </w:pPr>
            <w:r w:rsidRPr="005F3228">
              <w:rPr>
                <w:rFonts w:ascii="David" w:hAnsi="David" w:cs="David" w:hint="cs"/>
                <w:sz w:val="24"/>
                <w:szCs w:val="24"/>
                <w:rtl/>
              </w:rPr>
              <w:t>6</w:t>
            </w:r>
            <w:r w:rsidR="001E6E6D" w:rsidRPr="005F3228">
              <w:rPr>
                <w:rFonts w:ascii="David" w:hAnsi="David" w:cs="David"/>
                <w:sz w:val="24"/>
                <w:szCs w:val="24"/>
                <w:rtl/>
              </w:rPr>
              <w:t>%</w:t>
            </w:r>
          </w:p>
        </w:tc>
        <w:tc>
          <w:tcPr>
            <w:tcW w:w="1026" w:type="dxa"/>
          </w:tcPr>
          <w:p w14:paraId="230B2CC0" w14:textId="77777777" w:rsidR="001E6E6D" w:rsidRPr="005F3228" w:rsidRDefault="0080355A" w:rsidP="00F215A5">
            <w:pPr>
              <w:spacing w:line="300" w:lineRule="exact"/>
              <w:jc w:val="both"/>
              <w:rPr>
                <w:rFonts w:ascii="David" w:hAnsi="David" w:cs="David"/>
                <w:sz w:val="24"/>
                <w:szCs w:val="24"/>
                <w:rtl/>
              </w:rPr>
            </w:pPr>
            <w:r w:rsidRPr="005F3228">
              <w:rPr>
                <w:rFonts w:ascii="David" w:hAnsi="David" w:cs="David" w:hint="cs"/>
                <w:sz w:val="24"/>
                <w:szCs w:val="24"/>
                <w:rtl/>
              </w:rPr>
              <w:t>11</w:t>
            </w:r>
            <w:r w:rsidR="001E6E6D" w:rsidRPr="005F3228">
              <w:rPr>
                <w:rFonts w:ascii="David" w:hAnsi="David" w:cs="David"/>
                <w:sz w:val="24"/>
                <w:szCs w:val="24"/>
                <w:rtl/>
              </w:rPr>
              <w:t>%</w:t>
            </w:r>
          </w:p>
        </w:tc>
        <w:tc>
          <w:tcPr>
            <w:tcW w:w="820" w:type="dxa"/>
          </w:tcPr>
          <w:p w14:paraId="7EC0949E" w14:textId="77777777" w:rsidR="001E6E6D" w:rsidRPr="005F3228" w:rsidRDefault="00F81E64" w:rsidP="00F215A5">
            <w:pPr>
              <w:spacing w:line="300" w:lineRule="exact"/>
              <w:jc w:val="both"/>
              <w:rPr>
                <w:rFonts w:ascii="David" w:hAnsi="David" w:cs="David"/>
                <w:sz w:val="24"/>
                <w:szCs w:val="24"/>
                <w:rtl/>
              </w:rPr>
            </w:pPr>
            <w:r w:rsidRPr="005F3228">
              <w:rPr>
                <w:rFonts w:ascii="David" w:hAnsi="David" w:cs="David" w:hint="cs"/>
                <w:sz w:val="24"/>
                <w:szCs w:val="24"/>
                <w:rtl/>
              </w:rPr>
              <w:t>5</w:t>
            </w:r>
            <w:r w:rsidR="001E6E6D" w:rsidRPr="005F3228">
              <w:rPr>
                <w:rFonts w:ascii="David" w:hAnsi="David" w:cs="David"/>
                <w:sz w:val="24"/>
                <w:szCs w:val="24"/>
                <w:rtl/>
              </w:rPr>
              <w:t>%</w:t>
            </w:r>
          </w:p>
        </w:tc>
        <w:tc>
          <w:tcPr>
            <w:tcW w:w="762" w:type="dxa"/>
          </w:tcPr>
          <w:p w14:paraId="3D126D8E"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sz w:val="24"/>
                <w:szCs w:val="24"/>
                <w:rtl/>
              </w:rPr>
              <w:t>0%</w:t>
            </w:r>
          </w:p>
        </w:tc>
        <w:tc>
          <w:tcPr>
            <w:tcW w:w="750" w:type="dxa"/>
          </w:tcPr>
          <w:p w14:paraId="0701B9AE" w14:textId="77777777" w:rsidR="001E6E6D" w:rsidRPr="005F3228" w:rsidRDefault="001E6E6D" w:rsidP="00F215A5">
            <w:pPr>
              <w:spacing w:line="300" w:lineRule="exact"/>
              <w:jc w:val="both"/>
              <w:rPr>
                <w:rFonts w:ascii="David" w:hAnsi="David" w:cs="David"/>
                <w:sz w:val="24"/>
                <w:szCs w:val="24"/>
                <w:rtl/>
              </w:rPr>
            </w:pPr>
            <w:r w:rsidRPr="005F3228">
              <w:rPr>
                <w:rFonts w:ascii="David" w:hAnsi="David" w:cs="David"/>
                <w:sz w:val="24"/>
                <w:szCs w:val="24"/>
                <w:rtl/>
              </w:rPr>
              <w:t>0%</w:t>
            </w:r>
          </w:p>
        </w:tc>
      </w:tr>
    </w:tbl>
    <w:p w14:paraId="0665428E" w14:textId="77777777" w:rsidR="005C348C" w:rsidRPr="005F3228" w:rsidRDefault="001E6E6D" w:rsidP="0001139C">
      <w:pPr>
        <w:spacing w:line="300" w:lineRule="exact"/>
        <w:jc w:val="both"/>
        <w:rPr>
          <w:rFonts w:ascii="David" w:hAnsi="David" w:cs="David"/>
          <w:sz w:val="24"/>
          <w:szCs w:val="24"/>
        </w:rPr>
      </w:pPr>
      <w:r w:rsidRPr="005F3228">
        <w:rPr>
          <w:rFonts w:ascii="David" w:hAnsi="David" w:cs="David" w:hint="cs"/>
          <w:sz w:val="24"/>
          <w:szCs w:val="24"/>
          <w:rtl/>
        </w:rPr>
        <w:t xml:space="preserve">טבלה מספר 2: חלוקת פסקי דין </w:t>
      </w:r>
      <w:r w:rsidR="001427C8" w:rsidRPr="005F3228">
        <w:rPr>
          <w:rFonts w:ascii="David" w:hAnsi="David" w:cs="David" w:hint="cs"/>
          <w:sz w:val="24"/>
          <w:szCs w:val="24"/>
          <w:rtl/>
        </w:rPr>
        <w:t xml:space="preserve">והחלטות </w:t>
      </w:r>
      <w:r w:rsidRPr="005F3228">
        <w:rPr>
          <w:rFonts w:ascii="David" w:hAnsi="David" w:cs="David" w:hint="cs"/>
          <w:sz w:val="24"/>
          <w:szCs w:val="24"/>
          <w:rtl/>
        </w:rPr>
        <w:t>לפי קטגוריות-בתי המשפט השונים</w:t>
      </w:r>
      <w:r w:rsidR="0080355A" w:rsidRPr="005F3228">
        <w:rPr>
          <w:rFonts w:ascii="David" w:hAnsi="David" w:cs="David" w:hint="cs"/>
          <w:sz w:val="24"/>
          <w:szCs w:val="24"/>
          <w:rtl/>
        </w:rPr>
        <w:t xml:space="preserve"> </w:t>
      </w:r>
    </w:p>
    <w:p w14:paraId="75B6E5B3" w14:textId="77777777" w:rsidR="00EE6DDE" w:rsidRPr="005F3228" w:rsidRDefault="00EE6DDE" w:rsidP="004F0493">
      <w:pPr>
        <w:pStyle w:val="CommentText"/>
        <w:rPr>
          <w:rFonts w:ascii="David" w:hAnsi="David" w:cs="David"/>
          <w:sz w:val="24"/>
          <w:szCs w:val="24"/>
        </w:rPr>
      </w:pPr>
    </w:p>
    <w:p w14:paraId="0496F300" w14:textId="77777777" w:rsidR="00EE6DDE" w:rsidRPr="005F3228" w:rsidRDefault="00011409" w:rsidP="00011409">
      <w:pPr>
        <w:pStyle w:val="CommentText"/>
        <w:ind w:left="26"/>
        <w:rPr>
          <w:rFonts w:ascii="David" w:hAnsi="David" w:cs="David"/>
          <w:sz w:val="24"/>
          <w:szCs w:val="24"/>
          <w:rtl/>
        </w:rPr>
      </w:pPr>
      <w:r w:rsidRPr="005F3228">
        <w:rPr>
          <w:rFonts w:ascii="David" w:hAnsi="David" w:cs="David"/>
          <w:b/>
          <w:bCs/>
          <w:noProof/>
          <w:sz w:val="24"/>
          <w:szCs w:val="24"/>
          <w:u w:val="single"/>
        </w:rPr>
        <w:drawing>
          <wp:inline distT="0" distB="0" distL="0" distR="0" wp14:anchorId="58E2897C" wp14:editId="05C135D7">
            <wp:extent cx="3660938" cy="2114550"/>
            <wp:effectExtent l="0" t="0" r="0" b="0"/>
            <wp:docPr id="40" name="תמונה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5642" cy="2169251"/>
                    </a:xfrm>
                    <a:prstGeom prst="rect">
                      <a:avLst/>
                    </a:prstGeom>
                    <a:noFill/>
                  </pic:spPr>
                </pic:pic>
              </a:graphicData>
            </a:graphic>
          </wp:inline>
        </w:drawing>
      </w:r>
      <w:r w:rsidR="0001139C" w:rsidRPr="005F3228">
        <w:rPr>
          <w:rFonts w:ascii="David" w:hAnsi="David" w:cs="David" w:hint="cs"/>
          <w:sz w:val="24"/>
          <w:szCs w:val="24"/>
          <w:rtl/>
        </w:rPr>
        <w:t xml:space="preserve"> </w:t>
      </w:r>
    </w:p>
    <w:p w14:paraId="2DF4FAED" w14:textId="77777777" w:rsidR="00EE6DDE" w:rsidRPr="005F3228" w:rsidRDefault="00EE6DDE" w:rsidP="00476598">
      <w:pPr>
        <w:pStyle w:val="CommentText"/>
        <w:rPr>
          <w:rFonts w:ascii="David" w:hAnsi="David" w:cs="David"/>
          <w:sz w:val="24"/>
          <w:szCs w:val="24"/>
          <w:rtl/>
        </w:rPr>
      </w:pPr>
      <w:r w:rsidRPr="005F3228">
        <w:rPr>
          <w:rFonts w:ascii="David" w:hAnsi="David" w:cs="David" w:hint="cs"/>
          <w:sz w:val="24"/>
          <w:szCs w:val="24"/>
          <w:rtl/>
        </w:rPr>
        <w:t xml:space="preserve">שרטוט מספר </w:t>
      </w:r>
      <w:r w:rsidR="00640DB2" w:rsidRPr="005F3228">
        <w:rPr>
          <w:rFonts w:ascii="David" w:hAnsi="David" w:cs="David" w:hint="cs"/>
          <w:sz w:val="24"/>
          <w:szCs w:val="24"/>
          <w:rtl/>
        </w:rPr>
        <w:t>3</w:t>
      </w:r>
      <w:r w:rsidRPr="005F3228">
        <w:rPr>
          <w:rFonts w:ascii="David" w:hAnsi="David" w:cs="David" w:hint="cs"/>
          <w:sz w:val="24"/>
          <w:szCs w:val="24"/>
          <w:rtl/>
        </w:rPr>
        <w:t>: התפלגות לפי קטגוריות-בית המשפט העליון</w:t>
      </w:r>
    </w:p>
    <w:p w14:paraId="2A4B2B38" w14:textId="77777777" w:rsidR="00EE6DDE" w:rsidRPr="005F3228" w:rsidRDefault="00EE6DDE" w:rsidP="00EE6DDE">
      <w:pPr>
        <w:pStyle w:val="CommentText"/>
        <w:rPr>
          <w:rFonts w:ascii="David" w:hAnsi="David" w:cs="David"/>
          <w:sz w:val="24"/>
          <w:szCs w:val="24"/>
        </w:rPr>
      </w:pPr>
    </w:p>
    <w:p w14:paraId="20C5C402" w14:textId="77777777" w:rsidR="00B279E1" w:rsidRPr="005F3228" w:rsidRDefault="007709DD" w:rsidP="00DF12ED">
      <w:pPr>
        <w:pStyle w:val="CommentText"/>
        <w:rPr>
          <w:rFonts w:ascii="David" w:hAnsi="David" w:cs="David"/>
          <w:sz w:val="24"/>
          <w:szCs w:val="24"/>
          <w:rtl/>
        </w:rPr>
      </w:pPr>
      <w:r w:rsidRPr="005F3228">
        <w:rPr>
          <w:rFonts w:ascii="David" w:hAnsi="David" w:cs="David"/>
          <w:b/>
          <w:bCs/>
          <w:noProof/>
          <w:sz w:val="24"/>
          <w:szCs w:val="24"/>
          <w:u w:val="single"/>
        </w:rPr>
        <w:drawing>
          <wp:inline distT="0" distB="0" distL="0" distR="0" wp14:anchorId="603B19C6" wp14:editId="5658A243">
            <wp:extent cx="3657291" cy="2197100"/>
            <wp:effectExtent l="0" t="0" r="635" b="0"/>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269" cy="2287800"/>
                    </a:xfrm>
                    <a:prstGeom prst="rect">
                      <a:avLst/>
                    </a:prstGeom>
                    <a:noFill/>
                  </pic:spPr>
                </pic:pic>
              </a:graphicData>
            </a:graphic>
          </wp:inline>
        </w:drawing>
      </w:r>
    </w:p>
    <w:p w14:paraId="5DFD5133" w14:textId="77777777" w:rsidR="00640DB2" w:rsidRPr="005F3228" w:rsidRDefault="00EE6DDE" w:rsidP="00B279E1">
      <w:pPr>
        <w:pStyle w:val="CommentText"/>
        <w:rPr>
          <w:rFonts w:ascii="David" w:hAnsi="David" w:cs="David"/>
          <w:sz w:val="24"/>
          <w:szCs w:val="24"/>
          <w:rtl/>
        </w:rPr>
      </w:pPr>
      <w:r w:rsidRPr="005F3228">
        <w:rPr>
          <w:rFonts w:ascii="David" w:hAnsi="David" w:cs="David" w:hint="cs"/>
          <w:sz w:val="24"/>
          <w:szCs w:val="24"/>
          <w:rtl/>
        </w:rPr>
        <w:t xml:space="preserve">שרטוט מספר </w:t>
      </w:r>
      <w:r w:rsidR="00640DB2" w:rsidRPr="005F3228">
        <w:rPr>
          <w:rFonts w:ascii="David" w:hAnsi="David" w:cs="David" w:hint="cs"/>
          <w:sz w:val="24"/>
          <w:szCs w:val="24"/>
          <w:rtl/>
        </w:rPr>
        <w:t>4</w:t>
      </w:r>
      <w:r w:rsidRPr="005F3228">
        <w:rPr>
          <w:rFonts w:ascii="David" w:hAnsi="David" w:cs="David" w:hint="cs"/>
          <w:sz w:val="24"/>
          <w:szCs w:val="24"/>
          <w:rtl/>
        </w:rPr>
        <w:t>: התפלגות לפי קטגוריות-מחוזי, תל אביב</w:t>
      </w:r>
    </w:p>
    <w:p w14:paraId="5A20EE83" w14:textId="77777777" w:rsidR="00B279E1" w:rsidRPr="005F3228" w:rsidRDefault="00B279E1" w:rsidP="00B279E1">
      <w:pPr>
        <w:pStyle w:val="CommentText"/>
        <w:rPr>
          <w:rFonts w:ascii="David" w:hAnsi="David" w:cs="David"/>
          <w:sz w:val="24"/>
          <w:szCs w:val="24"/>
          <w:rtl/>
        </w:rPr>
      </w:pPr>
    </w:p>
    <w:p w14:paraId="3C6B0164" w14:textId="77777777" w:rsidR="00B279E1" w:rsidRPr="005F3228" w:rsidRDefault="00810178" w:rsidP="00B279E1">
      <w:pPr>
        <w:pStyle w:val="CommentText"/>
        <w:rPr>
          <w:rFonts w:ascii="David" w:hAnsi="David" w:cs="David"/>
          <w:sz w:val="24"/>
          <w:szCs w:val="24"/>
          <w:rtl/>
        </w:rPr>
      </w:pPr>
      <w:r w:rsidRPr="005F3228">
        <w:rPr>
          <w:rFonts w:ascii="David" w:hAnsi="David" w:cs="David"/>
          <w:b/>
          <w:bCs/>
          <w:noProof/>
          <w:sz w:val="24"/>
          <w:szCs w:val="24"/>
          <w:u w:val="single"/>
        </w:rPr>
        <w:lastRenderedPageBreak/>
        <w:drawing>
          <wp:inline distT="0" distB="0" distL="0" distR="0" wp14:anchorId="2155BC4F" wp14:editId="7125DF9D">
            <wp:extent cx="3622675" cy="2176305"/>
            <wp:effectExtent l="0" t="0" r="0" b="0"/>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0106" cy="2180769"/>
                    </a:xfrm>
                    <a:prstGeom prst="rect">
                      <a:avLst/>
                    </a:prstGeom>
                    <a:noFill/>
                  </pic:spPr>
                </pic:pic>
              </a:graphicData>
            </a:graphic>
          </wp:inline>
        </w:drawing>
      </w:r>
    </w:p>
    <w:p w14:paraId="70211F15" w14:textId="77777777" w:rsidR="00EE6DDE" w:rsidRPr="005F3228" w:rsidRDefault="00EE6DDE" w:rsidP="00476598">
      <w:pPr>
        <w:pStyle w:val="CommentText"/>
        <w:rPr>
          <w:rFonts w:ascii="David" w:hAnsi="David" w:cs="David"/>
          <w:sz w:val="24"/>
          <w:szCs w:val="24"/>
          <w:rtl/>
        </w:rPr>
      </w:pPr>
      <w:r w:rsidRPr="005F3228">
        <w:rPr>
          <w:rFonts w:ascii="David" w:hAnsi="David" w:cs="David" w:hint="cs"/>
          <w:sz w:val="24"/>
          <w:szCs w:val="24"/>
          <w:rtl/>
        </w:rPr>
        <w:t xml:space="preserve">שרטוט מספר </w:t>
      </w:r>
      <w:r w:rsidR="00640DB2" w:rsidRPr="005F3228">
        <w:rPr>
          <w:rFonts w:ascii="David" w:hAnsi="David" w:cs="David" w:hint="cs"/>
          <w:sz w:val="24"/>
          <w:szCs w:val="24"/>
          <w:rtl/>
        </w:rPr>
        <w:t>5</w:t>
      </w:r>
      <w:r w:rsidRPr="005F3228">
        <w:rPr>
          <w:rFonts w:ascii="David" w:hAnsi="David" w:cs="David" w:hint="cs"/>
          <w:sz w:val="24"/>
          <w:szCs w:val="24"/>
          <w:rtl/>
        </w:rPr>
        <w:t>: התפלגות לפי קטגוריות-מחוזי, מרכז</w:t>
      </w:r>
    </w:p>
    <w:p w14:paraId="41B26CF4" w14:textId="77777777" w:rsidR="00DF12ED" w:rsidRPr="005F3228" w:rsidRDefault="00DF12ED" w:rsidP="00EE6DDE">
      <w:pPr>
        <w:pStyle w:val="CommentText"/>
        <w:ind w:left="2276"/>
        <w:rPr>
          <w:rFonts w:ascii="David" w:hAnsi="David" w:cs="David"/>
          <w:sz w:val="24"/>
          <w:szCs w:val="24"/>
          <w:rtl/>
        </w:rPr>
      </w:pPr>
    </w:p>
    <w:p w14:paraId="750A9E16" w14:textId="77777777" w:rsidR="00B279E1" w:rsidRPr="005F3228" w:rsidRDefault="00025123" w:rsidP="00476598">
      <w:pPr>
        <w:pStyle w:val="CommentText"/>
        <w:rPr>
          <w:rFonts w:ascii="David" w:hAnsi="David" w:cs="David"/>
          <w:sz w:val="24"/>
          <w:szCs w:val="24"/>
          <w:rtl/>
        </w:rPr>
      </w:pPr>
      <w:r w:rsidRPr="005F3228">
        <w:rPr>
          <w:rFonts w:ascii="David" w:hAnsi="David" w:cs="David"/>
          <w:b/>
          <w:bCs/>
          <w:noProof/>
          <w:sz w:val="24"/>
          <w:szCs w:val="24"/>
          <w:u w:val="single"/>
        </w:rPr>
        <w:drawing>
          <wp:inline distT="0" distB="0" distL="0" distR="0" wp14:anchorId="55007DB9" wp14:editId="0EE40D6F">
            <wp:extent cx="3663385" cy="2273300"/>
            <wp:effectExtent l="0" t="0" r="0" b="0"/>
            <wp:docPr id="26"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3597" cy="2323075"/>
                    </a:xfrm>
                    <a:prstGeom prst="rect">
                      <a:avLst/>
                    </a:prstGeom>
                    <a:noFill/>
                  </pic:spPr>
                </pic:pic>
              </a:graphicData>
            </a:graphic>
          </wp:inline>
        </w:drawing>
      </w:r>
    </w:p>
    <w:p w14:paraId="335F9CD7" w14:textId="77777777" w:rsidR="00EE6DDE" w:rsidRPr="005F3228" w:rsidRDefault="00EE6DDE" w:rsidP="00476598">
      <w:pPr>
        <w:pStyle w:val="CommentText"/>
        <w:rPr>
          <w:rFonts w:ascii="David" w:hAnsi="David" w:cs="David"/>
          <w:sz w:val="24"/>
          <w:szCs w:val="24"/>
          <w:rtl/>
        </w:rPr>
      </w:pPr>
      <w:r w:rsidRPr="005F3228">
        <w:rPr>
          <w:rFonts w:ascii="David" w:hAnsi="David" w:cs="David" w:hint="cs"/>
          <w:sz w:val="24"/>
          <w:szCs w:val="24"/>
          <w:rtl/>
        </w:rPr>
        <w:t xml:space="preserve">שרטוט מספר </w:t>
      </w:r>
      <w:r w:rsidR="00640DB2" w:rsidRPr="005F3228">
        <w:rPr>
          <w:rFonts w:ascii="David" w:hAnsi="David" w:cs="David" w:hint="cs"/>
          <w:sz w:val="24"/>
          <w:szCs w:val="24"/>
          <w:rtl/>
        </w:rPr>
        <w:t>6</w:t>
      </w:r>
      <w:r w:rsidRPr="005F3228">
        <w:rPr>
          <w:rFonts w:ascii="David" w:hAnsi="David" w:cs="David" w:hint="cs"/>
          <w:sz w:val="24"/>
          <w:szCs w:val="24"/>
          <w:rtl/>
        </w:rPr>
        <w:t>: התפלגות לפי קטגוריות-מחוזי, ירושלים</w:t>
      </w:r>
    </w:p>
    <w:p w14:paraId="7610BED7" w14:textId="77777777" w:rsidR="00EE6DDE" w:rsidRPr="005F3228" w:rsidRDefault="00EE6DDE" w:rsidP="004F0493">
      <w:pPr>
        <w:pStyle w:val="CommentText"/>
        <w:rPr>
          <w:rFonts w:ascii="David" w:hAnsi="David" w:cs="David"/>
          <w:sz w:val="24"/>
          <w:szCs w:val="24"/>
          <w:rtl/>
        </w:rPr>
      </w:pPr>
    </w:p>
    <w:p w14:paraId="7B763D08" w14:textId="77777777" w:rsidR="00EE6DDE" w:rsidRPr="005F3228" w:rsidRDefault="004B3F08" w:rsidP="004B3F08">
      <w:pPr>
        <w:pStyle w:val="CommentText"/>
        <w:ind w:left="26"/>
        <w:rPr>
          <w:rFonts w:ascii="David" w:hAnsi="David" w:cs="David"/>
          <w:sz w:val="24"/>
          <w:szCs w:val="24"/>
          <w:rtl/>
        </w:rPr>
      </w:pPr>
      <w:r w:rsidRPr="005F3228">
        <w:rPr>
          <w:rFonts w:ascii="David" w:hAnsi="David" w:cs="David"/>
          <w:b/>
          <w:bCs/>
          <w:noProof/>
          <w:sz w:val="24"/>
          <w:szCs w:val="24"/>
          <w:u w:val="single"/>
        </w:rPr>
        <w:drawing>
          <wp:inline distT="0" distB="0" distL="0" distR="0" wp14:anchorId="5DE40C07" wp14:editId="10AE44EF">
            <wp:extent cx="3642919" cy="2260600"/>
            <wp:effectExtent l="0" t="0" r="0" b="635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5499" cy="2274612"/>
                    </a:xfrm>
                    <a:prstGeom prst="rect">
                      <a:avLst/>
                    </a:prstGeom>
                    <a:noFill/>
                  </pic:spPr>
                </pic:pic>
              </a:graphicData>
            </a:graphic>
          </wp:inline>
        </w:drawing>
      </w:r>
    </w:p>
    <w:p w14:paraId="021050B9" w14:textId="77777777" w:rsidR="007A1A87" w:rsidRPr="005F3228" w:rsidRDefault="007A1A87" w:rsidP="00476598">
      <w:pPr>
        <w:pStyle w:val="CommentText"/>
        <w:rPr>
          <w:rFonts w:ascii="David" w:hAnsi="David" w:cs="David"/>
          <w:sz w:val="24"/>
          <w:szCs w:val="24"/>
          <w:rtl/>
        </w:rPr>
      </w:pPr>
      <w:r w:rsidRPr="005F3228">
        <w:rPr>
          <w:rFonts w:ascii="David" w:hAnsi="David" w:cs="David" w:hint="cs"/>
          <w:sz w:val="24"/>
          <w:szCs w:val="24"/>
          <w:rtl/>
        </w:rPr>
        <w:t xml:space="preserve">שרטוט מספר </w:t>
      </w:r>
      <w:r w:rsidR="00640DB2" w:rsidRPr="005F3228">
        <w:rPr>
          <w:rFonts w:ascii="David" w:hAnsi="David" w:cs="David" w:hint="cs"/>
          <w:sz w:val="24"/>
          <w:szCs w:val="24"/>
          <w:rtl/>
        </w:rPr>
        <w:t>7</w:t>
      </w:r>
      <w:r w:rsidRPr="005F3228">
        <w:rPr>
          <w:rFonts w:ascii="David" w:hAnsi="David" w:cs="David" w:hint="cs"/>
          <w:sz w:val="24"/>
          <w:szCs w:val="24"/>
          <w:rtl/>
        </w:rPr>
        <w:t>: התפלגות לפי קטגוריות-מחוזי, חיפה</w:t>
      </w:r>
    </w:p>
    <w:p w14:paraId="46F58393" w14:textId="77777777" w:rsidR="00DD7A57" w:rsidRPr="005F3228" w:rsidRDefault="00DD7A57" w:rsidP="007A1A87">
      <w:pPr>
        <w:pStyle w:val="CommentText"/>
        <w:rPr>
          <w:rFonts w:ascii="David" w:hAnsi="David" w:cs="David"/>
          <w:sz w:val="24"/>
          <w:szCs w:val="24"/>
          <w:rtl/>
        </w:rPr>
      </w:pPr>
    </w:p>
    <w:p w14:paraId="53C58B59" w14:textId="77777777" w:rsidR="00DD7A57" w:rsidRPr="005F3228" w:rsidRDefault="00DD7A57" w:rsidP="007A1A87">
      <w:pPr>
        <w:pStyle w:val="CommentText"/>
        <w:rPr>
          <w:rFonts w:ascii="David" w:hAnsi="David" w:cs="David"/>
          <w:sz w:val="24"/>
          <w:szCs w:val="24"/>
          <w:rtl/>
        </w:rPr>
      </w:pPr>
    </w:p>
    <w:p w14:paraId="5C7FCA38" w14:textId="77777777" w:rsidR="00DD7A57" w:rsidRPr="005F3228" w:rsidRDefault="00DC2B2F" w:rsidP="00DC2B2F">
      <w:pPr>
        <w:pStyle w:val="CommentText"/>
        <w:ind w:left="26"/>
        <w:rPr>
          <w:rFonts w:ascii="David" w:hAnsi="David" w:cs="David"/>
          <w:sz w:val="24"/>
          <w:szCs w:val="24"/>
          <w:rtl/>
        </w:rPr>
      </w:pPr>
      <w:r w:rsidRPr="005F3228">
        <w:rPr>
          <w:rFonts w:ascii="David" w:hAnsi="David" w:cs="David"/>
          <w:b/>
          <w:bCs/>
          <w:noProof/>
          <w:sz w:val="24"/>
          <w:szCs w:val="24"/>
          <w:u w:val="single"/>
        </w:rPr>
        <w:lastRenderedPageBreak/>
        <w:drawing>
          <wp:inline distT="0" distB="0" distL="0" distR="0" wp14:anchorId="089736E1" wp14:editId="2C21161A">
            <wp:extent cx="3622454" cy="2247900"/>
            <wp:effectExtent l="0" t="0" r="0"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3347" cy="2254660"/>
                    </a:xfrm>
                    <a:prstGeom prst="rect">
                      <a:avLst/>
                    </a:prstGeom>
                    <a:noFill/>
                  </pic:spPr>
                </pic:pic>
              </a:graphicData>
            </a:graphic>
          </wp:inline>
        </w:drawing>
      </w:r>
    </w:p>
    <w:p w14:paraId="2D7DADF9" w14:textId="77777777" w:rsidR="00DD7A57" w:rsidRPr="005F3228" w:rsidRDefault="00DD7A57" w:rsidP="0080355A">
      <w:pPr>
        <w:pStyle w:val="CommentText"/>
        <w:rPr>
          <w:rFonts w:ascii="David" w:hAnsi="David" w:cs="David"/>
          <w:sz w:val="24"/>
          <w:szCs w:val="24"/>
          <w:rtl/>
        </w:rPr>
      </w:pPr>
      <w:r w:rsidRPr="005F3228">
        <w:rPr>
          <w:rFonts w:ascii="David" w:hAnsi="David" w:cs="David" w:hint="cs"/>
          <w:sz w:val="24"/>
          <w:szCs w:val="24"/>
          <w:rtl/>
        </w:rPr>
        <w:t xml:space="preserve">שרטוט מספר </w:t>
      </w:r>
      <w:r w:rsidR="00640DB2" w:rsidRPr="005F3228">
        <w:rPr>
          <w:rFonts w:ascii="David" w:hAnsi="David" w:cs="David" w:hint="cs"/>
          <w:sz w:val="24"/>
          <w:szCs w:val="24"/>
          <w:rtl/>
        </w:rPr>
        <w:t>8</w:t>
      </w:r>
      <w:r w:rsidRPr="005F3228">
        <w:rPr>
          <w:rFonts w:ascii="David" w:hAnsi="David" w:cs="David" w:hint="cs"/>
          <w:sz w:val="24"/>
          <w:szCs w:val="24"/>
          <w:rtl/>
        </w:rPr>
        <w:t>: התפלגות לפי קטגוריות-מחוזי, צפון</w:t>
      </w:r>
    </w:p>
    <w:p w14:paraId="4987E4F3" w14:textId="77777777" w:rsidR="00DD7A57" w:rsidRPr="005F3228" w:rsidRDefault="00DC2B2F" w:rsidP="004F0493">
      <w:pPr>
        <w:pStyle w:val="CommentText"/>
        <w:rPr>
          <w:rFonts w:ascii="David" w:hAnsi="David" w:cs="David"/>
          <w:rtl/>
        </w:rPr>
      </w:pPr>
      <w:r w:rsidRPr="005F3228">
        <w:rPr>
          <w:rFonts w:ascii="David" w:hAnsi="David" w:cs="David"/>
          <w:b/>
          <w:bCs/>
          <w:noProof/>
          <w:sz w:val="24"/>
          <w:szCs w:val="24"/>
          <w:u w:val="single"/>
        </w:rPr>
        <w:drawing>
          <wp:inline distT="0" distB="0" distL="0" distR="0" wp14:anchorId="0C59BE69" wp14:editId="69EA8940">
            <wp:extent cx="3622454" cy="2247900"/>
            <wp:effectExtent l="0" t="0" r="0" b="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3364" cy="2267081"/>
                    </a:xfrm>
                    <a:prstGeom prst="rect">
                      <a:avLst/>
                    </a:prstGeom>
                    <a:noFill/>
                  </pic:spPr>
                </pic:pic>
              </a:graphicData>
            </a:graphic>
          </wp:inline>
        </w:drawing>
      </w:r>
    </w:p>
    <w:p w14:paraId="7D6720A8" w14:textId="77777777" w:rsidR="00DD7A57" w:rsidRPr="005F3228" w:rsidRDefault="00DD7A57" w:rsidP="00476598">
      <w:pPr>
        <w:pStyle w:val="CommentText"/>
        <w:rPr>
          <w:rFonts w:ascii="David" w:hAnsi="David" w:cs="David"/>
          <w:sz w:val="24"/>
          <w:szCs w:val="24"/>
          <w:rtl/>
        </w:rPr>
      </w:pPr>
      <w:r w:rsidRPr="005F3228">
        <w:rPr>
          <w:rFonts w:ascii="David" w:hAnsi="David" w:cs="David" w:hint="cs"/>
          <w:sz w:val="24"/>
          <w:szCs w:val="24"/>
          <w:rtl/>
        </w:rPr>
        <w:t xml:space="preserve">שרטוט מספר </w:t>
      </w:r>
      <w:r w:rsidR="00640DB2" w:rsidRPr="005F3228">
        <w:rPr>
          <w:rFonts w:ascii="David" w:hAnsi="David" w:cs="David" w:hint="cs"/>
          <w:sz w:val="24"/>
          <w:szCs w:val="24"/>
          <w:rtl/>
        </w:rPr>
        <w:t>9</w:t>
      </w:r>
      <w:r w:rsidRPr="005F3228">
        <w:rPr>
          <w:rFonts w:ascii="David" w:hAnsi="David" w:cs="David" w:hint="cs"/>
          <w:sz w:val="24"/>
          <w:szCs w:val="24"/>
          <w:rtl/>
        </w:rPr>
        <w:t>: התפלגות לפי קטגוריות-מחוזי, דרום</w:t>
      </w:r>
    </w:p>
    <w:p w14:paraId="20C3F49A" w14:textId="77777777" w:rsidR="007D2687" w:rsidRPr="005F3228" w:rsidRDefault="001E6E6D" w:rsidP="00640DB2">
      <w:pPr>
        <w:pStyle w:val="CommentText"/>
        <w:spacing w:line="300" w:lineRule="exact"/>
        <w:jc w:val="both"/>
        <w:rPr>
          <w:rFonts w:ascii="David" w:hAnsi="David" w:cs="David"/>
          <w:sz w:val="24"/>
          <w:szCs w:val="24"/>
          <w:rtl/>
        </w:rPr>
      </w:pPr>
      <w:r w:rsidRPr="005F3228">
        <w:rPr>
          <w:rFonts w:ascii="David" w:hAnsi="David" w:cs="David"/>
          <w:sz w:val="24"/>
          <w:szCs w:val="24"/>
          <w:rtl/>
        </w:rPr>
        <w:t xml:space="preserve">ככלל, </w:t>
      </w:r>
      <w:r w:rsidR="00CD3B83" w:rsidRPr="005F3228">
        <w:rPr>
          <w:rFonts w:ascii="David" w:hAnsi="David" w:cs="David"/>
          <w:sz w:val="24"/>
          <w:szCs w:val="24"/>
          <w:rtl/>
        </w:rPr>
        <w:t>מצאנו כי תמונת היחס בין הקטגוריות השונות דומה בין בתי המשפט השונים</w:t>
      </w:r>
      <w:r w:rsidR="001E12A1" w:rsidRPr="005F3228">
        <w:rPr>
          <w:rFonts w:ascii="David" w:hAnsi="David" w:cs="David" w:hint="cs"/>
          <w:sz w:val="24"/>
          <w:szCs w:val="24"/>
          <w:rtl/>
        </w:rPr>
        <w:t>, ובפרט בין בית המשפט העליון ובתי המשפט המחוזיים במחוז תל אביב, מרכז, ירושלים,</w:t>
      </w:r>
      <w:r w:rsidR="00311C78" w:rsidRPr="005F3228">
        <w:rPr>
          <w:rStyle w:val="FootnoteReference"/>
          <w:rFonts w:ascii="David" w:hAnsi="David" w:cs="David"/>
          <w:sz w:val="24"/>
          <w:szCs w:val="24"/>
          <w:rtl/>
        </w:rPr>
        <w:footnoteReference w:id="65"/>
      </w:r>
      <w:r w:rsidR="001E12A1" w:rsidRPr="005F3228">
        <w:rPr>
          <w:rFonts w:ascii="David" w:hAnsi="David" w:cs="David" w:hint="cs"/>
          <w:sz w:val="24"/>
          <w:szCs w:val="24"/>
          <w:rtl/>
        </w:rPr>
        <w:t xml:space="preserve"> וחיפה (ראו שרטוטים </w:t>
      </w:r>
      <w:r w:rsidR="00640DB2" w:rsidRPr="005F3228">
        <w:rPr>
          <w:rFonts w:ascii="David" w:hAnsi="David" w:cs="David" w:hint="cs"/>
          <w:sz w:val="24"/>
          <w:szCs w:val="24"/>
          <w:rtl/>
        </w:rPr>
        <w:t>3</w:t>
      </w:r>
      <w:r w:rsidR="001E12A1" w:rsidRPr="005F3228">
        <w:rPr>
          <w:rFonts w:ascii="David" w:hAnsi="David" w:cs="David" w:hint="cs"/>
          <w:sz w:val="24"/>
          <w:szCs w:val="24"/>
          <w:rtl/>
        </w:rPr>
        <w:t>-</w:t>
      </w:r>
      <w:r w:rsidR="00640DB2" w:rsidRPr="005F3228">
        <w:rPr>
          <w:rFonts w:ascii="David" w:hAnsi="David" w:cs="David" w:hint="cs"/>
          <w:sz w:val="24"/>
          <w:szCs w:val="24"/>
          <w:rtl/>
        </w:rPr>
        <w:t>7</w:t>
      </w:r>
      <w:r w:rsidR="00D42076" w:rsidRPr="005F3228">
        <w:rPr>
          <w:rFonts w:ascii="David" w:hAnsi="David" w:cs="David" w:hint="cs"/>
          <w:sz w:val="24"/>
          <w:szCs w:val="24"/>
          <w:rtl/>
        </w:rPr>
        <w:t xml:space="preserve">). </w:t>
      </w:r>
      <w:r w:rsidR="00CD3B83" w:rsidRPr="005F3228">
        <w:rPr>
          <w:rFonts w:ascii="David" w:hAnsi="David" w:cs="David"/>
          <w:sz w:val="24"/>
          <w:szCs w:val="24"/>
          <w:rtl/>
        </w:rPr>
        <w:t xml:space="preserve">אמנם, </w:t>
      </w:r>
      <w:r w:rsidR="001E12A1" w:rsidRPr="005F3228">
        <w:rPr>
          <w:rFonts w:ascii="David" w:hAnsi="David" w:cs="David" w:hint="cs"/>
          <w:sz w:val="24"/>
          <w:szCs w:val="24"/>
          <w:rtl/>
        </w:rPr>
        <w:t xml:space="preserve">חלוקת </w:t>
      </w:r>
      <w:r w:rsidR="001427C8" w:rsidRPr="005F3228">
        <w:rPr>
          <w:rFonts w:ascii="David" w:hAnsi="David" w:cs="David" w:hint="cs"/>
          <w:sz w:val="24"/>
          <w:szCs w:val="24"/>
          <w:rtl/>
        </w:rPr>
        <w:t>המקרים</w:t>
      </w:r>
      <w:r w:rsidR="001E12A1" w:rsidRPr="005F3228">
        <w:rPr>
          <w:rFonts w:ascii="David" w:hAnsi="David" w:cs="David" w:hint="cs"/>
          <w:sz w:val="24"/>
          <w:szCs w:val="24"/>
          <w:rtl/>
        </w:rPr>
        <w:t xml:space="preserve"> לקטגוריות </w:t>
      </w:r>
      <w:r w:rsidR="00CD3B83" w:rsidRPr="005F3228">
        <w:rPr>
          <w:rFonts w:ascii="David" w:hAnsi="David" w:cs="David"/>
          <w:sz w:val="24"/>
          <w:szCs w:val="24"/>
          <w:rtl/>
        </w:rPr>
        <w:t xml:space="preserve">בבית המשפט המחוזי במחוז הצפון ובבית המשפט המחוזי במחוז הדרום </w:t>
      </w:r>
      <w:r w:rsidR="001E12A1" w:rsidRPr="005F3228">
        <w:rPr>
          <w:rFonts w:ascii="David" w:hAnsi="David" w:cs="David" w:hint="cs"/>
          <w:sz w:val="24"/>
          <w:szCs w:val="24"/>
          <w:rtl/>
        </w:rPr>
        <w:t xml:space="preserve">מציגה לכאורה תמונה שונה (שרטוטים </w:t>
      </w:r>
      <w:r w:rsidR="00640DB2" w:rsidRPr="005F3228">
        <w:rPr>
          <w:rFonts w:ascii="David" w:hAnsi="David" w:cs="David" w:hint="cs"/>
          <w:sz w:val="24"/>
          <w:szCs w:val="24"/>
          <w:rtl/>
        </w:rPr>
        <w:t>8-9</w:t>
      </w:r>
      <w:r w:rsidR="001E12A1" w:rsidRPr="005F3228">
        <w:rPr>
          <w:rFonts w:ascii="David" w:hAnsi="David" w:cs="David" w:hint="cs"/>
          <w:sz w:val="24"/>
          <w:szCs w:val="24"/>
          <w:rtl/>
        </w:rPr>
        <w:t xml:space="preserve">), ובמחוזות אלה </w:t>
      </w:r>
      <w:r w:rsidR="00CD3B83" w:rsidRPr="005F3228">
        <w:rPr>
          <w:rFonts w:ascii="David" w:hAnsi="David" w:cs="David"/>
          <w:sz w:val="24"/>
          <w:szCs w:val="24"/>
          <w:rtl/>
        </w:rPr>
        <w:t>לא נ</w:t>
      </w:r>
      <w:r w:rsidR="001E12A1" w:rsidRPr="005F3228">
        <w:rPr>
          <w:rFonts w:ascii="David" w:hAnsi="David" w:cs="David" w:hint="cs"/>
          <w:sz w:val="24"/>
          <w:szCs w:val="24"/>
          <w:rtl/>
        </w:rPr>
        <w:t xml:space="preserve">מצאו </w:t>
      </w:r>
      <w:r w:rsidR="00CD3B83" w:rsidRPr="005F3228">
        <w:rPr>
          <w:rFonts w:ascii="David" w:hAnsi="David" w:cs="David"/>
          <w:sz w:val="24"/>
          <w:szCs w:val="24"/>
          <w:rtl/>
        </w:rPr>
        <w:t xml:space="preserve">כלל פסקי דין </w:t>
      </w:r>
      <w:r w:rsidR="001427C8" w:rsidRPr="005F3228">
        <w:rPr>
          <w:rFonts w:ascii="David" w:hAnsi="David" w:cs="David" w:hint="cs"/>
          <w:sz w:val="24"/>
          <w:szCs w:val="24"/>
          <w:rtl/>
        </w:rPr>
        <w:t xml:space="preserve">והחלטות </w:t>
      </w:r>
      <w:r w:rsidR="00CD3B83" w:rsidRPr="005F3228">
        <w:rPr>
          <w:rFonts w:ascii="David" w:hAnsi="David" w:cs="David"/>
          <w:sz w:val="24"/>
          <w:szCs w:val="24"/>
          <w:rtl/>
        </w:rPr>
        <w:t xml:space="preserve">"דמויי </w:t>
      </w:r>
      <w:proofErr w:type="spellStart"/>
      <w:r w:rsidR="00CD3B83" w:rsidRPr="005F3228">
        <w:rPr>
          <w:rFonts w:ascii="David" w:hAnsi="David" w:cs="David"/>
          <w:sz w:val="24"/>
          <w:szCs w:val="24"/>
          <w:rtl/>
        </w:rPr>
        <w:t>א.ש.י.ר</w:t>
      </w:r>
      <w:proofErr w:type="spellEnd"/>
      <w:r w:rsidR="00CD3B83" w:rsidRPr="005F3228">
        <w:rPr>
          <w:rFonts w:ascii="David" w:hAnsi="David" w:cs="David"/>
          <w:sz w:val="24"/>
          <w:szCs w:val="24"/>
          <w:rtl/>
        </w:rPr>
        <w:t xml:space="preserve">" בתקופת המחקר, אולם </w:t>
      </w:r>
      <w:r w:rsidR="001E12A1" w:rsidRPr="005F3228">
        <w:rPr>
          <w:rFonts w:ascii="David" w:hAnsi="David" w:cs="David" w:hint="cs"/>
          <w:sz w:val="24"/>
          <w:szCs w:val="24"/>
          <w:rtl/>
        </w:rPr>
        <w:t xml:space="preserve">מספר המקרים הרלבנטיים בשני בתי המשפט הללו קטן משמעותית לעומת בתי המשפט האחרים (7 במחוז הדרום ו </w:t>
      </w:r>
      <w:r w:rsidR="001E12A1" w:rsidRPr="005F3228">
        <w:rPr>
          <w:rFonts w:ascii="David" w:hAnsi="David" w:cs="David"/>
          <w:sz w:val="24"/>
          <w:szCs w:val="24"/>
          <w:rtl/>
        </w:rPr>
        <w:t>–</w:t>
      </w:r>
      <w:r w:rsidR="001E12A1" w:rsidRPr="005F3228">
        <w:rPr>
          <w:rFonts w:ascii="David" w:hAnsi="David" w:cs="David" w:hint="cs"/>
          <w:sz w:val="24"/>
          <w:szCs w:val="24"/>
          <w:rtl/>
        </w:rPr>
        <w:t xml:space="preserve"> 1</w:t>
      </w:r>
      <w:r w:rsidR="009360C8" w:rsidRPr="005F3228">
        <w:rPr>
          <w:rFonts w:ascii="David" w:hAnsi="David" w:cs="David" w:hint="cs"/>
          <w:sz w:val="24"/>
          <w:szCs w:val="24"/>
          <w:rtl/>
        </w:rPr>
        <w:t>3</w:t>
      </w:r>
      <w:r w:rsidR="001E12A1" w:rsidRPr="005F3228">
        <w:rPr>
          <w:rFonts w:ascii="David" w:hAnsi="David" w:cs="David" w:hint="cs"/>
          <w:sz w:val="24"/>
          <w:szCs w:val="24"/>
          <w:rtl/>
        </w:rPr>
        <w:t xml:space="preserve"> במחוז </w:t>
      </w:r>
      <w:r w:rsidR="0001139C" w:rsidRPr="005F3228">
        <w:rPr>
          <w:rFonts w:ascii="David" w:hAnsi="David" w:cs="David" w:hint="cs"/>
          <w:sz w:val="24"/>
          <w:szCs w:val="24"/>
          <w:rtl/>
        </w:rPr>
        <w:t>הצפון</w:t>
      </w:r>
      <w:r w:rsidR="001E12A1" w:rsidRPr="005F3228">
        <w:rPr>
          <w:rFonts w:ascii="David" w:hAnsi="David" w:cs="David" w:hint="cs"/>
          <w:sz w:val="24"/>
          <w:szCs w:val="24"/>
          <w:rtl/>
        </w:rPr>
        <w:t>), כך שלא ניתן לייחס לשוני זה משמעות.</w:t>
      </w:r>
      <w:r w:rsidR="0031387A" w:rsidRPr="005F3228">
        <w:rPr>
          <w:rFonts w:ascii="David" w:hAnsi="David" w:cs="David" w:hint="cs"/>
          <w:sz w:val="24"/>
          <w:szCs w:val="24"/>
          <w:rtl/>
        </w:rPr>
        <w:t xml:space="preserve"> </w:t>
      </w:r>
      <w:r w:rsidR="00DD3F6A" w:rsidRPr="005F3228">
        <w:rPr>
          <w:rFonts w:ascii="David" w:hAnsi="David" w:cs="David" w:hint="cs"/>
          <w:sz w:val="24"/>
          <w:szCs w:val="24"/>
          <w:rtl/>
        </w:rPr>
        <w:t>ה</w:t>
      </w:r>
      <w:r w:rsidR="0031387A" w:rsidRPr="005F3228">
        <w:rPr>
          <w:rFonts w:ascii="David" w:hAnsi="David" w:cs="David" w:hint="cs"/>
          <w:sz w:val="24"/>
          <w:szCs w:val="24"/>
          <w:rtl/>
        </w:rPr>
        <w:t xml:space="preserve">דמיון </w:t>
      </w:r>
      <w:r w:rsidR="000D2AEA" w:rsidRPr="005F3228">
        <w:rPr>
          <w:rFonts w:ascii="David" w:hAnsi="David" w:cs="David" w:hint="cs"/>
          <w:sz w:val="24"/>
          <w:szCs w:val="24"/>
          <w:rtl/>
        </w:rPr>
        <w:t xml:space="preserve">באופן התפלגות המקרים בין </w:t>
      </w:r>
      <w:r w:rsidR="0031387A" w:rsidRPr="005F3228">
        <w:rPr>
          <w:rFonts w:ascii="David" w:hAnsi="David" w:cs="David" w:hint="cs"/>
          <w:sz w:val="24"/>
          <w:szCs w:val="24"/>
          <w:rtl/>
        </w:rPr>
        <w:t xml:space="preserve">בתי המשפט </w:t>
      </w:r>
      <w:r w:rsidR="00D45260" w:rsidRPr="005F3228">
        <w:rPr>
          <w:rFonts w:ascii="David" w:hAnsi="David" w:cs="David" w:hint="cs"/>
          <w:sz w:val="24"/>
          <w:szCs w:val="24"/>
          <w:rtl/>
        </w:rPr>
        <w:t>השונים</w:t>
      </w:r>
      <w:r w:rsidR="0031387A" w:rsidRPr="005F3228">
        <w:rPr>
          <w:rFonts w:ascii="David" w:hAnsi="David" w:cs="David" w:hint="cs"/>
          <w:sz w:val="24"/>
          <w:szCs w:val="24"/>
          <w:rtl/>
        </w:rPr>
        <w:t xml:space="preserve"> מפיג במידת מה את החששות</w:t>
      </w:r>
      <w:r w:rsidR="0050524D" w:rsidRPr="005F3228">
        <w:rPr>
          <w:rFonts w:ascii="David" w:hAnsi="David" w:cs="David" w:hint="cs"/>
          <w:sz w:val="24"/>
          <w:szCs w:val="24"/>
          <w:rtl/>
        </w:rPr>
        <w:t xml:space="preserve"> שהעלו מבקרי הלכת </w:t>
      </w:r>
      <w:proofErr w:type="spellStart"/>
      <w:r w:rsidR="0050524D" w:rsidRPr="005F3228">
        <w:rPr>
          <w:rFonts w:ascii="David" w:hAnsi="David" w:cs="David" w:hint="cs"/>
          <w:sz w:val="24"/>
          <w:szCs w:val="24"/>
          <w:rtl/>
        </w:rPr>
        <w:t>א.ש.י.ר</w:t>
      </w:r>
      <w:proofErr w:type="spellEnd"/>
      <w:r w:rsidR="0050524D" w:rsidRPr="005F3228">
        <w:rPr>
          <w:rFonts w:ascii="David" w:hAnsi="David" w:cs="David" w:hint="cs"/>
          <w:sz w:val="24"/>
          <w:szCs w:val="24"/>
          <w:rtl/>
        </w:rPr>
        <w:t>.</w:t>
      </w:r>
      <w:r w:rsidR="0031387A" w:rsidRPr="005F3228">
        <w:rPr>
          <w:rFonts w:ascii="David" w:hAnsi="David" w:cs="David" w:hint="cs"/>
          <w:sz w:val="24"/>
          <w:szCs w:val="24"/>
          <w:rtl/>
        </w:rPr>
        <w:t xml:space="preserve"> ביחס </w:t>
      </w:r>
      <w:r w:rsidR="00D45260" w:rsidRPr="005F3228">
        <w:rPr>
          <w:rFonts w:ascii="David" w:hAnsi="David" w:cs="David" w:hint="cs"/>
          <w:sz w:val="24"/>
          <w:szCs w:val="24"/>
          <w:rtl/>
        </w:rPr>
        <w:t>לעמימות הסטנדרטים הניצבים בבסיס עילת עשיית העושר ולאפשרות</w:t>
      </w:r>
      <w:r w:rsidR="0050524D" w:rsidRPr="005F3228">
        <w:rPr>
          <w:rFonts w:ascii="David" w:hAnsi="David" w:cs="David" w:hint="cs"/>
          <w:sz w:val="24"/>
          <w:szCs w:val="24"/>
          <w:rtl/>
        </w:rPr>
        <w:t xml:space="preserve"> כי עמימות זו תוביל ליישום לא אחיד של הלכת </w:t>
      </w:r>
      <w:proofErr w:type="spellStart"/>
      <w:r w:rsidR="0050524D" w:rsidRPr="005F3228">
        <w:rPr>
          <w:rFonts w:ascii="David" w:hAnsi="David" w:cs="David" w:hint="cs"/>
          <w:sz w:val="24"/>
          <w:szCs w:val="24"/>
          <w:rtl/>
        </w:rPr>
        <w:t>א.ש.י.ר</w:t>
      </w:r>
      <w:proofErr w:type="spellEnd"/>
      <w:r w:rsidR="0050524D" w:rsidRPr="005F3228">
        <w:rPr>
          <w:rFonts w:ascii="David" w:hAnsi="David" w:cs="David" w:hint="cs"/>
          <w:sz w:val="24"/>
          <w:szCs w:val="24"/>
          <w:rtl/>
        </w:rPr>
        <w:t>. על ידי שופטים שונים</w:t>
      </w:r>
      <w:r w:rsidR="00D45260" w:rsidRPr="005F3228">
        <w:rPr>
          <w:rFonts w:ascii="David" w:hAnsi="David" w:cs="David" w:hint="cs"/>
          <w:sz w:val="24"/>
          <w:szCs w:val="24"/>
          <w:rtl/>
        </w:rPr>
        <w:t>.</w:t>
      </w:r>
      <w:r w:rsidR="00D45260" w:rsidRPr="005F3228">
        <w:rPr>
          <w:rStyle w:val="FootnoteReference"/>
          <w:rFonts w:ascii="David" w:hAnsi="David" w:cs="David"/>
          <w:sz w:val="24"/>
          <w:szCs w:val="24"/>
          <w:rtl/>
        </w:rPr>
        <w:footnoteReference w:id="66"/>
      </w:r>
      <w:r w:rsidR="0031387A" w:rsidRPr="005F3228">
        <w:rPr>
          <w:rFonts w:ascii="David" w:hAnsi="David" w:cs="David" w:hint="cs"/>
          <w:sz w:val="24"/>
          <w:szCs w:val="24"/>
          <w:rtl/>
        </w:rPr>
        <w:t xml:space="preserve"> </w:t>
      </w:r>
    </w:p>
    <w:p w14:paraId="1851C9F8" w14:textId="5CB4D7B4" w:rsidR="000C2AE9" w:rsidRPr="005F3228" w:rsidRDefault="000C2AE9" w:rsidP="00640DB2">
      <w:pPr>
        <w:pStyle w:val="CommentText"/>
        <w:spacing w:line="300" w:lineRule="exact"/>
        <w:jc w:val="both"/>
        <w:rPr>
          <w:rFonts w:ascii="David" w:hAnsi="David" w:cs="David"/>
          <w:sz w:val="24"/>
          <w:szCs w:val="24"/>
        </w:rPr>
      </w:pPr>
      <w:r w:rsidRPr="005F3228">
        <w:rPr>
          <w:rFonts w:ascii="David" w:hAnsi="David" w:cs="David" w:hint="eastAsia"/>
          <w:sz w:val="24"/>
          <w:szCs w:val="24"/>
          <w:rtl/>
        </w:rPr>
        <w:t>להשלמת</w:t>
      </w:r>
      <w:r w:rsidRPr="005F3228">
        <w:rPr>
          <w:rFonts w:ascii="David" w:hAnsi="David" w:cs="David" w:hint="cs"/>
          <w:sz w:val="24"/>
          <w:szCs w:val="24"/>
          <w:rtl/>
        </w:rPr>
        <w:t xml:space="preserve"> התמונה נציין, כי </w:t>
      </w:r>
      <w:r w:rsidRPr="005F3228">
        <w:rPr>
          <w:rFonts w:ascii="David" w:hAnsi="David" w:cs="David"/>
          <w:sz w:val="24"/>
          <w:szCs w:val="24"/>
          <w:rtl/>
        </w:rPr>
        <w:t>ב</w:t>
      </w:r>
      <w:r w:rsidRPr="005F3228">
        <w:rPr>
          <w:rFonts w:ascii="David" w:hAnsi="David" w:cs="David" w:hint="cs"/>
          <w:sz w:val="24"/>
          <w:szCs w:val="24"/>
          <w:rtl/>
        </w:rPr>
        <w:t>י</w:t>
      </w:r>
      <w:r w:rsidRPr="005F3228">
        <w:rPr>
          <w:rFonts w:ascii="David" w:hAnsi="David" w:cs="David"/>
          <w:sz w:val="24"/>
          <w:szCs w:val="24"/>
          <w:rtl/>
        </w:rPr>
        <w:t>קש</w:t>
      </w:r>
      <w:r w:rsidRPr="005F3228">
        <w:rPr>
          <w:rFonts w:ascii="David" w:hAnsi="David" w:cs="David" w:hint="cs"/>
          <w:sz w:val="24"/>
          <w:szCs w:val="24"/>
          <w:rtl/>
        </w:rPr>
        <w:t>נו</w:t>
      </w:r>
      <w:r w:rsidRPr="005F3228">
        <w:rPr>
          <w:rFonts w:ascii="David" w:hAnsi="David" w:cs="David"/>
          <w:sz w:val="24"/>
          <w:szCs w:val="24"/>
          <w:rtl/>
        </w:rPr>
        <w:t xml:space="preserve"> לבדוק את הפילוח לקטגוריות השונות גם ביחס לכל אחד מתחומי הקניין הרוחני השונים בנפרד</w:t>
      </w:r>
      <w:r w:rsidRPr="005F3228">
        <w:rPr>
          <w:rFonts w:ascii="David" w:hAnsi="David" w:cs="David" w:hint="cs"/>
          <w:sz w:val="24"/>
          <w:szCs w:val="24"/>
          <w:rtl/>
        </w:rPr>
        <w:t xml:space="preserve">, דהיינו </w:t>
      </w:r>
      <w:r w:rsidRPr="005F3228">
        <w:rPr>
          <w:rFonts w:ascii="David" w:hAnsi="David" w:cs="David"/>
          <w:sz w:val="24"/>
          <w:szCs w:val="24"/>
          <w:rtl/>
        </w:rPr>
        <w:t xml:space="preserve">פטנטים, זכות יוצרים, מדגמים (עיצובים), סימני מסחר, וזכויות מטפחים. </w:t>
      </w:r>
      <w:r w:rsidRPr="005F3228">
        <w:rPr>
          <w:rFonts w:ascii="David" w:hAnsi="David" w:cs="David" w:hint="cs"/>
          <w:sz w:val="24"/>
          <w:szCs w:val="24"/>
          <w:rtl/>
        </w:rPr>
        <w:t>אולם</w:t>
      </w:r>
      <w:r w:rsidRPr="005F3228">
        <w:rPr>
          <w:rFonts w:ascii="David" w:hAnsi="David" w:cs="David"/>
          <w:sz w:val="24"/>
          <w:szCs w:val="24"/>
          <w:rtl/>
        </w:rPr>
        <w:t xml:space="preserve">, במהלך </w:t>
      </w:r>
      <w:r w:rsidRPr="005F3228">
        <w:rPr>
          <w:rFonts w:ascii="David" w:hAnsi="David" w:cs="David" w:hint="cs"/>
          <w:sz w:val="24"/>
          <w:szCs w:val="24"/>
          <w:rtl/>
        </w:rPr>
        <w:t>המחקר</w:t>
      </w:r>
      <w:r w:rsidRPr="005F3228">
        <w:rPr>
          <w:rFonts w:ascii="David" w:hAnsi="David" w:cs="David"/>
          <w:sz w:val="24"/>
          <w:szCs w:val="24"/>
          <w:rtl/>
        </w:rPr>
        <w:t xml:space="preserve"> נוכחנו כי לא ניתן לבצע זאת באופן שיניב ממצאים מהימנים ומדויקים. </w:t>
      </w:r>
      <w:r w:rsidRPr="005F3228">
        <w:rPr>
          <w:rFonts w:ascii="David" w:hAnsi="David" w:cs="David" w:hint="cs"/>
          <w:sz w:val="24"/>
          <w:szCs w:val="24"/>
          <w:rtl/>
        </w:rPr>
        <w:t>זאת משום</w:t>
      </w:r>
      <w:r w:rsidRPr="005F3228">
        <w:rPr>
          <w:rFonts w:ascii="David" w:hAnsi="David" w:cs="David"/>
          <w:sz w:val="24"/>
          <w:szCs w:val="24"/>
          <w:rtl/>
        </w:rPr>
        <w:t xml:space="preserve"> </w:t>
      </w:r>
      <w:r w:rsidRPr="005F3228">
        <w:rPr>
          <w:rFonts w:ascii="David" w:hAnsi="David" w:cs="David" w:hint="cs"/>
          <w:sz w:val="24"/>
          <w:szCs w:val="24"/>
          <w:rtl/>
        </w:rPr>
        <w:t>ש</w:t>
      </w:r>
      <w:r w:rsidRPr="005F3228">
        <w:rPr>
          <w:rFonts w:ascii="David" w:hAnsi="David" w:cs="David"/>
          <w:sz w:val="24"/>
          <w:szCs w:val="24"/>
          <w:rtl/>
        </w:rPr>
        <w:t xml:space="preserve">במקרים רבים בהם מוגשת תביעה על חיקוי תוצר רוחני התובעים נוטים לכלול ב"סל" עילות שונות ומגוונות המבוססות על ענפי קניין רוחני שונים. בד בבד, גם </w:t>
      </w:r>
      <w:r w:rsidRPr="005F3228">
        <w:rPr>
          <w:rFonts w:ascii="David" w:hAnsi="David" w:cs="David"/>
          <w:sz w:val="24"/>
          <w:szCs w:val="24"/>
          <w:rtl/>
        </w:rPr>
        <w:lastRenderedPageBreak/>
        <w:t xml:space="preserve">בפסקי הדין הניתנים בסופו של דבר ביחס לתביעות אלה—בפרט כאשר בית המשפט דוחה את העילות בקניין רוחני—קשה במקרים רבים לחלץ מן ההכרעה את התחום אליו שויך המקרה לגישתו של בית המשפט.  </w:t>
      </w:r>
    </w:p>
    <w:p w14:paraId="14BDDB61" w14:textId="77777777" w:rsidR="000C2AE9" w:rsidRPr="005F3228" w:rsidRDefault="00F767B8" w:rsidP="00507B3E">
      <w:pPr>
        <w:pStyle w:val="CommentText"/>
        <w:spacing w:line="300" w:lineRule="exact"/>
        <w:jc w:val="both"/>
        <w:rPr>
          <w:rFonts w:ascii="David" w:hAnsi="David" w:cs="David"/>
          <w:sz w:val="24"/>
          <w:szCs w:val="24"/>
          <w:rtl/>
        </w:rPr>
      </w:pPr>
      <w:r w:rsidRPr="005F3228">
        <w:rPr>
          <w:rFonts w:ascii="David" w:hAnsi="David" w:cs="David" w:hint="cs"/>
          <w:b/>
          <w:bCs/>
          <w:sz w:val="24"/>
          <w:szCs w:val="24"/>
          <w:rtl/>
        </w:rPr>
        <w:t>ג)</w:t>
      </w:r>
      <w:r w:rsidR="000C2AE9" w:rsidRPr="005F3228">
        <w:rPr>
          <w:rFonts w:ascii="David" w:hAnsi="David" w:cs="David" w:hint="cs"/>
          <w:b/>
          <w:bCs/>
          <w:sz w:val="24"/>
          <w:szCs w:val="24"/>
          <w:rtl/>
        </w:rPr>
        <w:t xml:space="preserve"> </w:t>
      </w:r>
      <w:r w:rsidR="00C74C31" w:rsidRPr="005F3228">
        <w:rPr>
          <w:rFonts w:ascii="David" w:hAnsi="David" w:cs="David" w:hint="cs"/>
          <w:b/>
          <w:bCs/>
          <w:sz w:val="24"/>
          <w:szCs w:val="24"/>
          <w:rtl/>
        </w:rPr>
        <w:t xml:space="preserve">דחיית התביעה בעשיית עושר: </w:t>
      </w:r>
      <w:r w:rsidR="00507B3E" w:rsidRPr="005F3228">
        <w:rPr>
          <w:rFonts w:ascii="David" w:hAnsi="David" w:cs="David" w:hint="cs"/>
          <w:b/>
          <w:bCs/>
          <w:sz w:val="24"/>
          <w:szCs w:val="24"/>
          <w:rtl/>
        </w:rPr>
        <w:t>על שום מה?</w:t>
      </w:r>
    </w:p>
    <w:p w14:paraId="5295D920" w14:textId="77777777" w:rsidR="00507B3E" w:rsidRPr="005F3228" w:rsidRDefault="00D91372" w:rsidP="00D91372">
      <w:pPr>
        <w:spacing w:line="300" w:lineRule="exact"/>
        <w:jc w:val="both"/>
        <w:rPr>
          <w:rFonts w:ascii="David" w:hAnsi="David" w:cs="David"/>
          <w:sz w:val="24"/>
          <w:szCs w:val="24"/>
          <w:rtl/>
        </w:rPr>
      </w:pPr>
      <w:r w:rsidRPr="005F3228">
        <w:rPr>
          <w:rFonts w:ascii="David" w:hAnsi="David" w:cs="David" w:hint="cs"/>
          <w:sz w:val="24"/>
          <w:szCs w:val="24"/>
          <w:rtl/>
        </w:rPr>
        <w:t xml:space="preserve">בנוסף להתפלגות פסקי הדין </w:t>
      </w:r>
      <w:r w:rsidR="001427C8" w:rsidRPr="005F3228">
        <w:rPr>
          <w:rFonts w:ascii="David" w:hAnsi="David" w:cs="David" w:hint="cs"/>
          <w:sz w:val="24"/>
          <w:szCs w:val="24"/>
          <w:rtl/>
        </w:rPr>
        <w:t xml:space="preserve">וההחלטות </w:t>
      </w:r>
      <w:r w:rsidRPr="005F3228">
        <w:rPr>
          <w:rFonts w:ascii="David" w:hAnsi="David" w:cs="David" w:hint="cs"/>
          <w:sz w:val="24"/>
          <w:szCs w:val="24"/>
          <w:rtl/>
        </w:rPr>
        <w:t>כאמור לעיל</w:t>
      </w:r>
      <w:r w:rsidR="00F767B8" w:rsidRPr="005F3228">
        <w:rPr>
          <w:rFonts w:ascii="David" w:hAnsi="David" w:cs="David" w:hint="cs"/>
          <w:sz w:val="24"/>
          <w:szCs w:val="24"/>
          <w:rtl/>
        </w:rPr>
        <w:t xml:space="preserve">, </w:t>
      </w:r>
      <w:r w:rsidR="00507B3E" w:rsidRPr="005F3228">
        <w:rPr>
          <w:rFonts w:ascii="David" w:hAnsi="David" w:cs="David" w:hint="cs"/>
          <w:sz w:val="24"/>
          <w:szCs w:val="24"/>
          <w:rtl/>
        </w:rPr>
        <w:t xml:space="preserve">ניסינו לזהות </w:t>
      </w:r>
      <w:r w:rsidRPr="005F3228">
        <w:rPr>
          <w:rFonts w:ascii="David" w:hAnsi="David" w:cs="David" w:hint="cs"/>
          <w:sz w:val="24"/>
          <w:szCs w:val="24"/>
          <w:rtl/>
        </w:rPr>
        <w:t xml:space="preserve">גם </w:t>
      </w:r>
      <w:r w:rsidR="00507B3E" w:rsidRPr="005F3228">
        <w:rPr>
          <w:rFonts w:ascii="David" w:hAnsi="David" w:cs="David" w:hint="cs"/>
          <w:sz w:val="24"/>
          <w:szCs w:val="24"/>
          <w:rtl/>
        </w:rPr>
        <w:t xml:space="preserve">את </w:t>
      </w:r>
      <w:r w:rsidRPr="005F3228">
        <w:rPr>
          <w:rFonts w:ascii="David" w:hAnsi="David" w:cs="David" w:hint="cs"/>
          <w:sz w:val="24"/>
          <w:szCs w:val="24"/>
          <w:rtl/>
        </w:rPr>
        <w:t>האופנים</w:t>
      </w:r>
      <w:r w:rsidR="00507B3E" w:rsidRPr="005F3228">
        <w:rPr>
          <w:rFonts w:ascii="David" w:hAnsi="David" w:cs="David" w:hint="cs"/>
          <w:sz w:val="24"/>
          <w:szCs w:val="24"/>
          <w:rtl/>
        </w:rPr>
        <w:t xml:space="preserve"> </w:t>
      </w:r>
      <w:r w:rsidRPr="005F3228">
        <w:rPr>
          <w:rFonts w:ascii="David" w:hAnsi="David" w:cs="David" w:hint="cs"/>
          <w:sz w:val="24"/>
          <w:szCs w:val="24"/>
          <w:rtl/>
        </w:rPr>
        <w:t xml:space="preserve">העיקריים </w:t>
      </w:r>
      <w:r w:rsidR="00507B3E" w:rsidRPr="005F3228">
        <w:rPr>
          <w:rFonts w:ascii="David" w:hAnsi="David" w:cs="David" w:hint="cs"/>
          <w:sz w:val="24"/>
          <w:szCs w:val="24"/>
          <w:rtl/>
        </w:rPr>
        <w:t>בה</w:t>
      </w:r>
      <w:r w:rsidRPr="005F3228">
        <w:rPr>
          <w:rFonts w:ascii="David" w:hAnsi="David" w:cs="David" w:hint="cs"/>
          <w:sz w:val="24"/>
          <w:szCs w:val="24"/>
          <w:rtl/>
        </w:rPr>
        <w:t>ם</w:t>
      </w:r>
      <w:r w:rsidR="00507B3E" w:rsidRPr="005F3228">
        <w:rPr>
          <w:rFonts w:ascii="David" w:hAnsi="David" w:cs="David" w:hint="cs"/>
          <w:sz w:val="24"/>
          <w:szCs w:val="24"/>
          <w:rtl/>
        </w:rPr>
        <w:t xml:space="preserve"> מתייחס בית המשפט לעילת עשיית העושר במקרים בהם נדחית התביעה בעילה זו. </w:t>
      </w:r>
    </w:p>
    <w:p w14:paraId="59B78600" w14:textId="77777777" w:rsidR="00F215A5" w:rsidRPr="005F3228" w:rsidRDefault="00507B3E" w:rsidP="00A31FD2">
      <w:pPr>
        <w:spacing w:line="300" w:lineRule="exact"/>
        <w:jc w:val="both"/>
        <w:rPr>
          <w:rFonts w:ascii="David" w:hAnsi="David" w:cs="David"/>
          <w:sz w:val="24"/>
          <w:szCs w:val="24"/>
          <w:rtl/>
        </w:rPr>
      </w:pPr>
      <w:r w:rsidRPr="005F3228">
        <w:rPr>
          <w:rFonts w:ascii="David" w:hAnsi="David" w:cs="David" w:hint="cs"/>
          <w:sz w:val="24"/>
          <w:szCs w:val="24"/>
          <w:rtl/>
        </w:rPr>
        <w:t xml:space="preserve">ראשית, </w:t>
      </w:r>
      <w:r w:rsidR="00F767B8" w:rsidRPr="005F3228">
        <w:rPr>
          <w:rFonts w:ascii="David" w:hAnsi="David" w:cs="David" w:hint="cs"/>
          <w:sz w:val="24"/>
          <w:szCs w:val="24"/>
          <w:rtl/>
        </w:rPr>
        <w:t xml:space="preserve">בדקנו בכמה מבין </w:t>
      </w:r>
      <w:r w:rsidR="00F75C19" w:rsidRPr="005F3228">
        <w:rPr>
          <w:rFonts w:ascii="David" w:hAnsi="David" w:cs="David" w:hint="cs"/>
          <w:sz w:val="24"/>
          <w:szCs w:val="24"/>
          <w:rtl/>
        </w:rPr>
        <w:t>המקרים</w:t>
      </w:r>
      <w:r w:rsidR="00F767B8" w:rsidRPr="005F3228">
        <w:rPr>
          <w:rFonts w:ascii="David" w:hAnsi="David" w:cs="David" w:hint="cs"/>
          <w:sz w:val="24"/>
          <w:szCs w:val="24"/>
          <w:rtl/>
        </w:rPr>
        <w:t xml:space="preserve"> שנכללו במאגר אכן התקיים דיון </w:t>
      </w:r>
      <w:r w:rsidRPr="005F3228">
        <w:rPr>
          <w:rFonts w:ascii="David" w:hAnsi="David" w:cs="David" w:hint="cs"/>
          <w:sz w:val="24"/>
          <w:szCs w:val="24"/>
          <w:rtl/>
        </w:rPr>
        <w:t>מהותי ביסודות</w:t>
      </w:r>
      <w:r w:rsidR="00F767B8" w:rsidRPr="005F3228">
        <w:rPr>
          <w:rFonts w:ascii="David" w:hAnsi="David" w:cs="David" w:hint="cs"/>
          <w:sz w:val="24"/>
          <w:szCs w:val="24"/>
          <w:rtl/>
        </w:rPr>
        <w:t xml:space="preserve"> </w:t>
      </w:r>
      <w:r w:rsidRPr="005F3228">
        <w:rPr>
          <w:rFonts w:ascii="David" w:hAnsi="David" w:cs="David" w:hint="cs"/>
          <w:sz w:val="24"/>
          <w:szCs w:val="24"/>
          <w:rtl/>
        </w:rPr>
        <w:t>ה</w:t>
      </w:r>
      <w:r w:rsidR="00F767B8" w:rsidRPr="005F3228">
        <w:rPr>
          <w:rFonts w:ascii="David" w:hAnsi="David" w:cs="David" w:hint="cs"/>
          <w:sz w:val="24"/>
          <w:szCs w:val="24"/>
          <w:rtl/>
        </w:rPr>
        <w:t>עיל</w:t>
      </w:r>
      <w:r w:rsidR="00ED6F7A" w:rsidRPr="005F3228">
        <w:rPr>
          <w:rFonts w:ascii="David" w:hAnsi="David" w:cs="David" w:hint="cs"/>
          <w:sz w:val="24"/>
          <w:szCs w:val="24"/>
          <w:rtl/>
        </w:rPr>
        <w:t>ה של</w:t>
      </w:r>
      <w:r w:rsidR="00F767B8" w:rsidRPr="005F3228">
        <w:rPr>
          <w:rFonts w:ascii="David" w:hAnsi="David" w:cs="David" w:hint="cs"/>
          <w:sz w:val="24"/>
          <w:szCs w:val="24"/>
          <w:rtl/>
        </w:rPr>
        <w:t xml:space="preserve"> עשיית עושר</w:t>
      </w:r>
      <w:r w:rsidR="00ED6F7A" w:rsidRPr="005F3228">
        <w:rPr>
          <w:rFonts w:ascii="David" w:hAnsi="David" w:cs="David" w:hint="cs"/>
          <w:sz w:val="24"/>
          <w:szCs w:val="24"/>
          <w:rtl/>
        </w:rPr>
        <w:t xml:space="preserve"> ולא במשפט</w:t>
      </w:r>
      <w:r w:rsidR="00F767B8" w:rsidRPr="005F3228">
        <w:rPr>
          <w:rFonts w:ascii="David" w:hAnsi="David" w:cs="David" w:hint="cs"/>
          <w:sz w:val="24"/>
          <w:szCs w:val="24"/>
          <w:rtl/>
        </w:rPr>
        <w:t xml:space="preserve">. מצאנו, כי </w:t>
      </w:r>
      <w:r w:rsidR="00F215A5" w:rsidRPr="005F3228">
        <w:rPr>
          <w:rFonts w:ascii="David" w:hAnsi="David" w:cs="David"/>
          <w:sz w:val="24"/>
          <w:szCs w:val="24"/>
          <w:rtl/>
        </w:rPr>
        <w:t>ב</w:t>
      </w:r>
      <w:r w:rsidR="00745489" w:rsidRPr="005F3228">
        <w:rPr>
          <w:rFonts w:ascii="David" w:hAnsi="David" w:cs="David" w:hint="cs"/>
          <w:sz w:val="24"/>
          <w:szCs w:val="24"/>
          <w:rtl/>
        </w:rPr>
        <w:t>כ</w:t>
      </w:r>
      <w:r w:rsidR="00F215A5" w:rsidRPr="005F3228">
        <w:rPr>
          <w:rFonts w:ascii="David" w:hAnsi="David" w:cs="David"/>
          <w:sz w:val="24"/>
          <w:szCs w:val="24"/>
          <w:rtl/>
        </w:rPr>
        <w:t>-</w:t>
      </w:r>
      <w:r w:rsidR="00745489" w:rsidRPr="005F3228">
        <w:rPr>
          <w:rFonts w:ascii="David" w:hAnsi="David" w:cs="David" w:hint="cs"/>
          <w:sz w:val="24"/>
          <w:szCs w:val="24"/>
          <w:rtl/>
        </w:rPr>
        <w:t>48</w:t>
      </w:r>
      <w:r w:rsidR="00F215A5" w:rsidRPr="005F3228">
        <w:rPr>
          <w:rFonts w:ascii="David" w:hAnsi="David" w:cs="David"/>
          <w:sz w:val="24"/>
          <w:szCs w:val="24"/>
          <w:rtl/>
        </w:rPr>
        <w:t xml:space="preserve">% מתוך מכלול </w:t>
      </w:r>
      <w:r w:rsidR="00F75C19" w:rsidRPr="005F3228">
        <w:rPr>
          <w:rFonts w:ascii="David" w:hAnsi="David" w:cs="David" w:hint="cs"/>
          <w:sz w:val="24"/>
          <w:szCs w:val="24"/>
          <w:rtl/>
        </w:rPr>
        <w:t>המקרים</w:t>
      </w:r>
      <w:r w:rsidR="00F215A5" w:rsidRPr="005F3228">
        <w:rPr>
          <w:rFonts w:ascii="David" w:hAnsi="David" w:cs="David"/>
          <w:sz w:val="24"/>
          <w:szCs w:val="24"/>
          <w:rtl/>
        </w:rPr>
        <w:t xml:space="preserve"> (20</w:t>
      </w:r>
      <w:r w:rsidR="00745489" w:rsidRPr="005F3228">
        <w:rPr>
          <w:rFonts w:ascii="David" w:hAnsi="David" w:cs="David" w:hint="cs"/>
          <w:sz w:val="24"/>
          <w:szCs w:val="24"/>
          <w:rtl/>
        </w:rPr>
        <w:t>5</w:t>
      </w:r>
      <w:r w:rsidR="00F215A5" w:rsidRPr="005F3228">
        <w:rPr>
          <w:rFonts w:ascii="David" w:hAnsi="David" w:cs="David"/>
          <w:sz w:val="24"/>
          <w:szCs w:val="24"/>
          <w:rtl/>
        </w:rPr>
        <w:t xml:space="preserve"> מתוך </w:t>
      </w:r>
      <w:r w:rsidR="003274B4" w:rsidRPr="005F3228">
        <w:rPr>
          <w:rFonts w:ascii="David" w:hAnsi="David" w:cs="David" w:hint="cs"/>
          <w:sz w:val="24"/>
          <w:szCs w:val="24"/>
          <w:rtl/>
        </w:rPr>
        <w:t>430</w:t>
      </w:r>
      <w:r w:rsidR="00A31FD2" w:rsidRPr="005F3228">
        <w:rPr>
          <w:rFonts w:ascii="David" w:hAnsi="David" w:cs="David"/>
          <w:sz w:val="24"/>
          <w:szCs w:val="24"/>
          <w:rtl/>
        </w:rPr>
        <w:t xml:space="preserve"> </w:t>
      </w:r>
      <w:r w:rsidR="000B6309" w:rsidRPr="005F3228">
        <w:rPr>
          <w:rFonts w:ascii="David" w:hAnsi="David" w:cs="David" w:hint="cs"/>
          <w:sz w:val="24"/>
          <w:szCs w:val="24"/>
          <w:rtl/>
        </w:rPr>
        <w:t>מקרים</w:t>
      </w:r>
      <w:r w:rsidR="00F215A5" w:rsidRPr="005F3228">
        <w:rPr>
          <w:rFonts w:ascii="David" w:hAnsi="David" w:cs="David"/>
          <w:sz w:val="24"/>
          <w:szCs w:val="24"/>
          <w:rtl/>
        </w:rPr>
        <w:t>) לא התקיים כ</w:t>
      </w:r>
      <w:r w:rsidR="00ED6F7A" w:rsidRPr="005F3228">
        <w:rPr>
          <w:rFonts w:ascii="David" w:hAnsi="David" w:cs="David" w:hint="cs"/>
          <w:sz w:val="24"/>
          <w:szCs w:val="24"/>
          <w:rtl/>
        </w:rPr>
        <w:t>ל</w:t>
      </w:r>
      <w:r w:rsidR="00F215A5" w:rsidRPr="005F3228">
        <w:rPr>
          <w:rFonts w:ascii="David" w:hAnsi="David" w:cs="David"/>
          <w:sz w:val="24"/>
          <w:szCs w:val="24"/>
          <w:rtl/>
        </w:rPr>
        <w:t xml:space="preserve">ל דיון מהותי </w:t>
      </w:r>
      <w:r w:rsidRPr="005F3228">
        <w:rPr>
          <w:rFonts w:ascii="David" w:hAnsi="David" w:cs="David" w:hint="cs"/>
          <w:sz w:val="24"/>
          <w:szCs w:val="24"/>
          <w:rtl/>
        </w:rPr>
        <w:t>כזה</w:t>
      </w:r>
      <w:r w:rsidR="00F215A5" w:rsidRPr="005F3228">
        <w:rPr>
          <w:rFonts w:ascii="David" w:hAnsi="David" w:cs="David"/>
          <w:sz w:val="24"/>
          <w:szCs w:val="24"/>
          <w:rtl/>
        </w:rPr>
        <w:t>. כל המקרים הללו השתייכו לקטגורי</w:t>
      </w:r>
      <w:r w:rsidR="00ED6F7A" w:rsidRPr="005F3228">
        <w:rPr>
          <w:rFonts w:ascii="David" w:hAnsi="David" w:cs="David" w:hint="cs"/>
          <w:sz w:val="24"/>
          <w:szCs w:val="24"/>
          <w:rtl/>
        </w:rPr>
        <w:t>ות בהן נדחתה העילה בעשיית עושר, כלומר מקרים</w:t>
      </w:r>
      <w:r w:rsidR="00F215A5" w:rsidRPr="005F3228">
        <w:rPr>
          <w:rFonts w:ascii="David" w:hAnsi="David" w:cs="David"/>
          <w:sz w:val="24"/>
          <w:szCs w:val="24"/>
          <w:rtl/>
        </w:rPr>
        <w:t xml:space="preserve"> בהם </w:t>
      </w:r>
      <w:r w:rsidR="00ED6F7A" w:rsidRPr="005F3228">
        <w:rPr>
          <w:rFonts w:ascii="David" w:hAnsi="David" w:cs="David"/>
          <w:sz w:val="24"/>
          <w:szCs w:val="24"/>
          <w:rtl/>
        </w:rPr>
        <w:t xml:space="preserve">לא התקבלה </w:t>
      </w:r>
      <w:r w:rsidR="00ED6F7A" w:rsidRPr="005F3228">
        <w:rPr>
          <w:rFonts w:ascii="David" w:hAnsi="David" w:cs="David" w:hint="cs"/>
          <w:sz w:val="24"/>
          <w:szCs w:val="24"/>
          <w:rtl/>
        </w:rPr>
        <w:t>ה</w:t>
      </w:r>
      <w:r w:rsidR="00ED6F7A" w:rsidRPr="005F3228">
        <w:rPr>
          <w:rFonts w:ascii="David" w:hAnsi="David" w:cs="David"/>
          <w:sz w:val="24"/>
          <w:szCs w:val="24"/>
          <w:rtl/>
        </w:rPr>
        <w:t xml:space="preserve">עילה בקניין רוחני וגם לא בעשיית עושר </w:t>
      </w:r>
      <w:r w:rsidR="00ED6F7A" w:rsidRPr="005F3228">
        <w:rPr>
          <w:rFonts w:ascii="David" w:hAnsi="David" w:cs="David" w:hint="cs"/>
          <w:sz w:val="24"/>
          <w:szCs w:val="24"/>
          <w:rtl/>
        </w:rPr>
        <w:t>(קטגוריה 2</w:t>
      </w:r>
      <w:r w:rsidRPr="005F3228">
        <w:rPr>
          <w:rFonts w:ascii="David" w:hAnsi="David" w:cs="David" w:hint="cs"/>
          <w:sz w:val="24"/>
          <w:szCs w:val="24"/>
          <w:rtl/>
        </w:rPr>
        <w:t>)</w:t>
      </w:r>
      <w:r w:rsidR="00ED6F7A" w:rsidRPr="005F3228">
        <w:rPr>
          <w:rFonts w:ascii="David" w:hAnsi="David" w:cs="David" w:hint="cs"/>
          <w:sz w:val="24"/>
          <w:szCs w:val="24"/>
          <w:rtl/>
        </w:rPr>
        <w:t xml:space="preserve"> או מקרים בהם </w:t>
      </w:r>
      <w:r w:rsidR="00F215A5" w:rsidRPr="005F3228">
        <w:rPr>
          <w:rFonts w:ascii="David" w:hAnsi="David" w:cs="David"/>
          <w:sz w:val="24"/>
          <w:szCs w:val="24"/>
          <w:rtl/>
        </w:rPr>
        <w:t xml:space="preserve">התקבלה </w:t>
      </w:r>
      <w:r w:rsidR="00ED6F7A" w:rsidRPr="005F3228">
        <w:rPr>
          <w:rFonts w:ascii="David" w:hAnsi="David" w:cs="David" w:hint="cs"/>
          <w:sz w:val="24"/>
          <w:szCs w:val="24"/>
          <w:rtl/>
        </w:rPr>
        <w:t>ה</w:t>
      </w:r>
      <w:r w:rsidR="00F215A5" w:rsidRPr="005F3228">
        <w:rPr>
          <w:rFonts w:ascii="David" w:hAnsi="David" w:cs="David"/>
          <w:sz w:val="24"/>
          <w:szCs w:val="24"/>
          <w:rtl/>
        </w:rPr>
        <w:t>עיל</w:t>
      </w:r>
      <w:r w:rsidR="00ED6F7A" w:rsidRPr="005F3228">
        <w:rPr>
          <w:rFonts w:ascii="David" w:hAnsi="David" w:cs="David" w:hint="cs"/>
          <w:sz w:val="24"/>
          <w:szCs w:val="24"/>
          <w:rtl/>
        </w:rPr>
        <w:t>ה</w:t>
      </w:r>
      <w:r w:rsidR="00F215A5" w:rsidRPr="005F3228">
        <w:rPr>
          <w:rFonts w:ascii="David" w:hAnsi="David" w:cs="David"/>
          <w:sz w:val="24"/>
          <w:szCs w:val="24"/>
          <w:rtl/>
        </w:rPr>
        <w:t xml:space="preserve"> </w:t>
      </w:r>
      <w:r w:rsidR="00ED6F7A" w:rsidRPr="005F3228">
        <w:rPr>
          <w:rFonts w:ascii="David" w:hAnsi="David" w:cs="David" w:hint="cs"/>
          <w:sz w:val="24"/>
          <w:szCs w:val="24"/>
          <w:rtl/>
        </w:rPr>
        <w:t>ב</w:t>
      </w:r>
      <w:r w:rsidR="00F215A5" w:rsidRPr="005F3228">
        <w:rPr>
          <w:rFonts w:ascii="David" w:hAnsi="David" w:cs="David"/>
          <w:sz w:val="24"/>
          <w:szCs w:val="24"/>
          <w:rtl/>
        </w:rPr>
        <w:t xml:space="preserve">קניין רוחני בלבד </w:t>
      </w:r>
      <w:r w:rsidR="00ED6F7A" w:rsidRPr="005F3228">
        <w:rPr>
          <w:rFonts w:ascii="David" w:hAnsi="David" w:cs="David" w:hint="cs"/>
          <w:sz w:val="24"/>
          <w:szCs w:val="24"/>
          <w:rtl/>
        </w:rPr>
        <w:t>(קטגוריה 3</w:t>
      </w:r>
      <w:r w:rsidRPr="005F3228">
        <w:rPr>
          <w:rFonts w:ascii="David" w:hAnsi="David" w:cs="David" w:hint="cs"/>
          <w:sz w:val="24"/>
          <w:szCs w:val="24"/>
          <w:rtl/>
        </w:rPr>
        <w:t>)</w:t>
      </w:r>
      <w:r w:rsidR="00ED6F7A" w:rsidRPr="005F3228">
        <w:rPr>
          <w:rFonts w:ascii="David" w:hAnsi="David" w:cs="David" w:hint="cs"/>
          <w:sz w:val="24"/>
          <w:szCs w:val="24"/>
          <w:rtl/>
        </w:rPr>
        <w:t xml:space="preserve">. </w:t>
      </w:r>
    </w:p>
    <w:p w14:paraId="709CA4FC" w14:textId="77777777" w:rsidR="00C55F19" w:rsidRPr="005F3228" w:rsidRDefault="00F215A5" w:rsidP="00CA3D77">
      <w:pPr>
        <w:spacing w:line="300" w:lineRule="exact"/>
        <w:jc w:val="both"/>
        <w:rPr>
          <w:rFonts w:ascii="David" w:hAnsi="David" w:cs="David"/>
          <w:sz w:val="24"/>
          <w:szCs w:val="24"/>
          <w:rtl/>
        </w:rPr>
      </w:pPr>
      <w:r w:rsidRPr="005F3228">
        <w:rPr>
          <w:rFonts w:ascii="David" w:hAnsi="David" w:cs="David"/>
          <w:sz w:val="24"/>
          <w:szCs w:val="24"/>
          <w:rtl/>
        </w:rPr>
        <w:t xml:space="preserve">זאת ועוד, מסתבר כי </w:t>
      </w:r>
      <w:r w:rsidR="00507B3E" w:rsidRPr="005F3228">
        <w:rPr>
          <w:rFonts w:ascii="David" w:hAnsi="David" w:cs="David" w:hint="cs"/>
          <w:sz w:val="24"/>
          <w:szCs w:val="24"/>
          <w:rtl/>
        </w:rPr>
        <w:t xml:space="preserve">בכמעט מחצית </w:t>
      </w:r>
      <w:r w:rsidRPr="005F3228">
        <w:rPr>
          <w:rFonts w:ascii="David" w:hAnsi="David" w:cs="David"/>
          <w:sz w:val="24"/>
          <w:szCs w:val="24"/>
          <w:rtl/>
        </w:rPr>
        <w:t xml:space="preserve">מן המקרים </w:t>
      </w:r>
      <w:r w:rsidR="00507B3E" w:rsidRPr="005F3228">
        <w:rPr>
          <w:rFonts w:ascii="David" w:hAnsi="David" w:cs="David" w:hint="cs"/>
          <w:sz w:val="24"/>
          <w:szCs w:val="24"/>
          <w:rtl/>
        </w:rPr>
        <w:t>ש</w:t>
      </w:r>
      <w:r w:rsidRPr="005F3228">
        <w:rPr>
          <w:rFonts w:ascii="David" w:hAnsi="David" w:cs="David"/>
          <w:sz w:val="24"/>
          <w:szCs w:val="24"/>
          <w:rtl/>
        </w:rPr>
        <w:t>בהם לא התקיים דיון מהותי ביסודות עילת עשיית העושר (</w:t>
      </w:r>
      <w:r w:rsidR="0085051E" w:rsidRPr="005F3228">
        <w:rPr>
          <w:rFonts w:ascii="David" w:hAnsi="David" w:cs="David" w:hint="cs"/>
          <w:sz w:val="24"/>
          <w:szCs w:val="24"/>
          <w:rtl/>
        </w:rPr>
        <w:t>101</w:t>
      </w:r>
      <w:r w:rsidRPr="005F3228">
        <w:rPr>
          <w:rFonts w:ascii="David" w:hAnsi="David" w:cs="David"/>
          <w:sz w:val="24"/>
          <w:szCs w:val="24"/>
          <w:rtl/>
        </w:rPr>
        <w:t xml:space="preserve"> מתוך 20</w:t>
      </w:r>
      <w:r w:rsidR="0085051E" w:rsidRPr="005F3228">
        <w:rPr>
          <w:rFonts w:ascii="David" w:hAnsi="David" w:cs="David" w:hint="cs"/>
          <w:sz w:val="24"/>
          <w:szCs w:val="24"/>
          <w:rtl/>
        </w:rPr>
        <w:t>5</w:t>
      </w:r>
      <w:r w:rsidR="00FB3AD2" w:rsidRPr="005F3228">
        <w:rPr>
          <w:rFonts w:ascii="David" w:hAnsi="David" w:cs="David" w:hint="cs"/>
          <w:sz w:val="24"/>
          <w:szCs w:val="24"/>
          <w:rtl/>
        </w:rPr>
        <w:t xml:space="preserve"> מקרים</w:t>
      </w:r>
      <w:r w:rsidRPr="005F3228">
        <w:rPr>
          <w:rFonts w:ascii="David" w:hAnsi="David" w:cs="David"/>
          <w:sz w:val="24"/>
          <w:szCs w:val="24"/>
          <w:rtl/>
        </w:rPr>
        <w:t>) בית המשפט כלל לא התייחס לעילה</w:t>
      </w:r>
      <w:r w:rsidR="00507B3E" w:rsidRPr="005F3228">
        <w:rPr>
          <w:rFonts w:ascii="David" w:hAnsi="David" w:cs="David" w:hint="cs"/>
          <w:sz w:val="24"/>
          <w:szCs w:val="24"/>
          <w:rtl/>
        </w:rPr>
        <w:t xml:space="preserve"> כחלק מן ההחלטה</w:t>
      </w:r>
      <w:r w:rsidRPr="005F3228">
        <w:rPr>
          <w:rFonts w:ascii="David" w:hAnsi="David" w:cs="David"/>
          <w:sz w:val="24"/>
          <w:szCs w:val="24"/>
          <w:rtl/>
        </w:rPr>
        <w:t xml:space="preserve">, </w:t>
      </w:r>
      <w:r w:rsidR="00086C25" w:rsidRPr="005F3228">
        <w:rPr>
          <w:rFonts w:ascii="David" w:hAnsi="David" w:cs="David" w:hint="cs"/>
          <w:sz w:val="24"/>
          <w:szCs w:val="24"/>
          <w:rtl/>
        </w:rPr>
        <w:t>על אף ש</w:t>
      </w:r>
      <w:r w:rsidR="00CA3D77" w:rsidRPr="005F3228">
        <w:rPr>
          <w:rFonts w:ascii="David" w:hAnsi="David" w:cs="David" w:hint="cs"/>
          <w:sz w:val="24"/>
          <w:szCs w:val="24"/>
          <w:rtl/>
        </w:rPr>
        <w:t>מפסק הדין עולה במפורש ש</w:t>
      </w:r>
      <w:r w:rsidR="00086C25" w:rsidRPr="005F3228">
        <w:rPr>
          <w:rFonts w:ascii="David" w:hAnsi="David" w:cs="David" w:hint="cs"/>
          <w:sz w:val="24"/>
          <w:szCs w:val="24"/>
          <w:rtl/>
        </w:rPr>
        <w:t>היא נכללה</w:t>
      </w:r>
      <w:r w:rsidR="00507B3E" w:rsidRPr="005F3228">
        <w:rPr>
          <w:rFonts w:ascii="David" w:hAnsi="David" w:cs="David" w:hint="cs"/>
          <w:sz w:val="24"/>
          <w:szCs w:val="24"/>
          <w:rtl/>
        </w:rPr>
        <w:t xml:space="preserve"> </w:t>
      </w:r>
      <w:r w:rsidRPr="005F3228">
        <w:rPr>
          <w:rFonts w:ascii="David" w:hAnsi="David" w:cs="David"/>
          <w:sz w:val="24"/>
          <w:szCs w:val="24"/>
          <w:rtl/>
        </w:rPr>
        <w:t>בכתב התביעה</w:t>
      </w:r>
      <w:r w:rsidR="00CA3D77" w:rsidRPr="005F3228">
        <w:rPr>
          <w:rFonts w:ascii="David" w:hAnsi="David" w:cs="David" w:hint="cs"/>
          <w:sz w:val="24"/>
          <w:szCs w:val="24"/>
          <w:rtl/>
        </w:rPr>
        <w:t>.</w:t>
      </w:r>
      <w:r w:rsidR="00086C25" w:rsidRPr="005F3228">
        <w:rPr>
          <w:rFonts w:ascii="David" w:hAnsi="David" w:cs="David" w:hint="cs"/>
          <w:sz w:val="24"/>
          <w:szCs w:val="24"/>
          <w:rtl/>
        </w:rPr>
        <w:t xml:space="preserve"> </w:t>
      </w:r>
    </w:p>
    <w:p w14:paraId="44724278" w14:textId="77777777" w:rsidR="004F0493" w:rsidRPr="005F3228" w:rsidRDefault="00F215A5" w:rsidP="00921ED0">
      <w:pPr>
        <w:spacing w:line="300" w:lineRule="exact"/>
        <w:jc w:val="both"/>
        <w:rPr>
          <w:rFonts w:ascii="David" w:hAnsi="David" w:cs="David"/>
          <w:sz w:val="24"/>
          <w:szCs w:val="24"/>
          <w:rtl/>
        </w:rPr>
      </w:pPr>
      <w:r w:rsidRPr="005F3228">
        <w:rPr>
          <w:rFonts w:ascii="David" w:hAnsi="David" w:cs="David"/>
          <w:sz w:val="24"/>
          <w:szCs w:val="24"/>
          <w:rtl/>
        </w:rPr>
        <w:t xml:space="preserve">ביתר המקרים, בהם בית המשפט </w:t>
      </w:r>
      <w:r w:rsidR="00C55F19" w:rsidRPr="005F3228">
        <w:rPr>
          <w:rFonts w:ascii="David" w:hAnsi="David" w:cs="David" w:hint="cs"/>
          <w:sz w:val="24"/>
          <w:szCs w:val="24"/>
          <w:rtl/>
        </w:rPr>
        <w:t xml:space="preserve">התייחס </w:t>
      </w:r>
      <w:r w:rsidRPr="005F3228">
        <w:rPr>
          <w:rFonts w:ascii="David" w:hAnsi="David" w:cs="David"/>
          <w:sz w:val="24"/>
          <w:szCs w:val="24"/>
          <w:rtl/>
        </w:rPr>
        <w:t>לעיל</w:t>
      </w:r>
      <w:r w:rsidR="00D91372" w:rsidRPr="005F3228">
        <w:rPr>
          <w:rFonts w:ascii="David" w:hAnsi="David" w:cs="David" w:hint="cs"/>
          <w:sz w:val="24"/>
          <w:szCs w:val="24"/>
          <w:rtl/>
        </w:rPr>
        <w:t>ת עשיית העושר</w:t>
      </w:r>
      <w:r w:rsidR="00C55F19" w:rsidRPr="005F3228">
        <w:rPr>
          <w:rFonts w:ascii="David" w:hAnsi="David" w:cs="David" w:hint="cs"/>
          <w:sz w:val="24"/>
          <w:szCs w:val="24"/>
          <w:rtl/>
        </w:rPr>
        <w:t xml:space="preserve"> בהחלטתו אך דחה אותה מבלי לבחון את התקיימות יסודות</w:t>
      </w:r>
      <w:r w:rsidR="00D91372" w:rsidRPr="005F3228">
        <w:rPr>
          <w:rFonts w:ascii="David" w:hAnsi="David" w:cs="David" w:hint="cs"/>
          <w:sz w:val="24"/>
          <w:szCs w:val="24"/>
          <w:rtl/>
        </w:rPr>
        <w:t>יה</w:t>
      </w:r>
      <w:r w:rsidR="00C55F19" w:rsidRPr="005F3228">
        <w:rPr>
          <w:rFonts w:ascii="David" w:hAnsi="David" w:cs="David" w:hint="cs"/>
          <w:sz w:val="24"/>
          <w:szCs w:val="24"/>
          <w:rtl/>
        </w:rPr>
        <w:t>, דחיית העילה</w:t>
      </w:r>
      <w:r w:rsidRPr="005F3228">
        <w:rPr>
          <w:rFonts w:ascii="David" w:hAnsi="David" w:cs="David"/>
          <w:sz w:val="24"/>
          <w:szCs w:val="24"/>
          <w:rtl/>
        </w:rPr>
        <w:t xml:space="preserve"> </w:t>
      </w:r>
      <w:r w:rsidR="002168FC" w:rsidRPr="005F3228">
        <w:rPr>
          <w:rFonts w:ascii="David" w:hAnsi="David" w:cs="David" w:hint="cs"/>
          <w:sz w:val="24"/>
          <w:szCs w:val="24"/>
          <w:rtl/>
        </w:rPr>
        <w:t>ללא דיון ביסודותיה</w:t>
      </w:r>
      <w:r w:rsidR="00C55F19" w:rsidRPr="005F3228">
        <w:rPr>
          <w:rFonts w:ascii="David" w:hAnsi="David" w:cs="David" w:hint="cs"/>
          <w:sz w:val="24"/>
          <w:szCs w:val="24"/>
          <w:rtl/>
        </w:rPr>
        <w:t xml:space="preserve"> </w:t>
      </w:r>
      <w:r w:rsidR="003F5D3D" w:rsidRPr="005F3228">
        <w:rPr>
          <w:rFonts w:ascii="David" w:hAnsi="David" w:cs="David" w:hint="cs"/>
          <w:sz w:val="24"/>
          <w:szCs w:val="24"/>
          <w:rtl/>
        </w:rPr>
        <w:t xml:space="preserve">נומקה </w:t>
      </w:r>
      <w:r w:rsidR="00921ED0" w:rsidRPr="005F3228">
        <w:rPr>
          <w:rFonts w:ascii="David" w:hAnsi="David" w:cs="David" w:hint="cs"/>
          <w:sz w:val="24"/>
          <w:szCs w:val="24"/>
          <w:rtl/>
        </w:rPr>
        <w:t>לעיתים</w:t>
      </w:r>
      <w:r w:rsidR="003F5D3D" w:rsidRPr="005F3228">
        <w:rPr>
          <w:rFonts w:ascii="David" w:hAnsi="David" w:cs="David" w:hint="cs"/>
          <w:sz w:val="24"/>
          <w:szCs w:val="24"/>
          <w:rtl/>
        </w:rPr>
        <w:t xml:space="preserve"> ב</w:t>
      </w:r>
      <w:r w:rsidR="00D91372" w:rsidRPr="005F3228">
        <w:rPr>
          <w:rFonts w:ascii="David" w:hAnsi="David" w:cs="David" w:hint="cs"/>
          <w:sz w:val="24"/>
          <w:szCs w:val="24"/>
          <w:rtl/>
        </w:rPr>
        <w:t xml:space="preserve">קביעה שקבלת </w:t>
      </w:r>
      <w:r w:rsidR="00485295" w:rsidRPr="005F3228">
        <w:rPr>
          <w:rFonts w:ascii="David" w:hAnsi="David" w:cs="David" w:hint="cs"/>
          <w:sz w:val="24"/>
          <w:szCs w:val="24"/>
          <w:rtl/>
        </w:rPr>
        <w:t>ה</w:t>
      </w:r>
      <w:r w:rsidR="00D91372" w:rsidRPr="005F3228">
        <w:rPr>
          <w:rFonts w:ascii="David" w:hAnsi="David" w:cs="David" w:hint="cs"/>
          <w:sz w:val="24"/>
          <w:szCs w:val="24"/>
          <w:rtl/>
        </w:rPr>
        <w:t xml:space="preserve">עילה בקניין רוחני </w:t>
      </w:r>
      <w:r w:rsidR="00D91372" w:rsidRPr="005F3228">
        <w:rPr>
          <w:rFonts w:ascii="David" w:hAnsi="David" w:cs="David"/>
          <w:sz w:val="24"/>
          <w:szCs w:val="24"/>
          <w:rtl/>
        </w:rPr>
        <w:t xml:space="preserve">מייתרת את הדיון בעשיית עושר. </w:t>
      </w:r>
      <w:r w:rsidR="00485295" w:rsidRPr="005F3228">
        <w:rPr>
          <w:rFonts w:ascii="David" w:hAnsi="David" w:cs="David" w:hint="cs"/>
          <w:sz w:val="24"/>
          <w:szCs w:val="24"/>
          <w:rtl/>
        </w:rPr>
        <w:t xml:space="preserve">סוג </w:t>
      </w:r>
      <w:r w:rsidR="00D91372" w:rsidRPr="005F3228">
        <w:rPr>
          <w:rFonts w:ascii="David" w:hAnsi="David" w:cs="David" w:hint="cs"/>
          <w:sz w:val="24"/>
          <w:szCs w:val="24"/>
          <w:rtl/>
        </w:rPr>
        <w:t>נוסף</w:t>
      </w:r>
      <w:r w:rsidR="00485295" w:rsidRPr="005F3228">
        <w:rPr>
          <w:rFonts w:ascii="David" w:hAnsi="David" w:cs="David" w:hint="cs"/>
          <w:sz w:val="24"/>
          <w:szCs w:val="24"/>
          <w:rtl/>
        </w:rPr>
        <w:t>, וחשוב לעניינו, של הנמקה לדחיית התביעה בעשיית עושר, הוא</w:t>
      </w:r>
      <w:r w:rsidR="00D91372" w:rsidRPr="005F3228">
        <w:rPr>
          <w:rFonts w:ascii="David" w:hAnsi="David" w:cs="David" w:hint="cs"/>
          <w:sz w:val="24"/>
          <w:szCs w:val="24"/>
          <w:rtl/>
        </w:rPr>
        <w:t xml:space="preserve"> </w:t>
      </w:r>
      <w:r w:rsidRPr="005F3228">
        <w:rPr>
          <w:rFonts w:ascii="David" w:hAnsi="David" w:cs="David"/>
          <w:sz w:val="24"/>
          <w:szCs w:val="24"/>
          <w:rtl/>
        </w:rPr>
        <w:t xml:space="preserve">חוסר נכונות </w:t>
      </w:r>
      <w:r w:rsidR="002C49F0" w:rsidRPr="005F3228">
        <w:rPr>
          <w:rFonts w:ascii="David" w:hAnsi="David" w:cs="David" w:hint="cs"/>
          <w:sz w:val="24"/>
          <w:szCs w:val="24"/>
          <w:rtl/>
        </w:rPr>
        <w:t xml:space="preserve">מפורש </w:t>
      </w:r>
      <w:r w:rsidRPr="005F3228">
        <w:rPr>
          <w:rFonts w:ascii="David" w:hAnsi="David" w:cs="David"/>
          <w:sz w:val="24"/>
          <w:szCs w:val="24"/>
          <w:rtl/>
        </w:rPr>
        <w:t>להרחיב את ההגנה המשפטית לתובע באמצעות מתן סעד בעשיית עושר</w:t>
      </w:r>
      <w:r w:rsidR="002C49F0" w:rsidRPr="005F3228">
        <w:rPr>
          <w:rFonts w:ascii="David" w:hAnsi="David" w:cs="David" w:hint="cs"/>
          <w:sz w:val="24"/>
          <w:szCs w:val="24"/>
          <w:rtl/>
        </w:rPr>
        <w:t xml:space="preserve">. אמירה מפורשת </w:t>
      </w:r>
      <w:r w:rsidR="008C1D15" w:rsidRPr="005F3228">
        <w:rPr>
          <w:rFonts w:ascii="David" w:hAnsi="David" w:cs="David" w:hint="cs"/>
          <w:sz w:val="24"/>
          <w:szCs w:val="24"/>
          <w:rtl/>
        </w:rPr>
        <w:t xml:space="preserve">כזאת </w:t>
      </w:r>
      <w:r w:rsidR="007B6905" w:rsidRPr="005F3228">
        <w:rPr>
          <w:rFonts w:ascii="David" w:hAnsi="David" w:cs="David" w:hint="cs"/>
          <w:sz w:val="24"/>
          <w:szCs w:val="24"/>
          <w:rtl/>
        </w:rPr>
        <w:t xml:space="preserve">מצד בתי </w:t>
      </w:r>
      <w:r w:rsidR="007B6905" w:rsidRPr="005F3228">
        <w:rPr>
          <w:rFonts w:ascii="David" w:hAnsi="David" w:cs="David" w:hint="eastAsia"/>
          <w:sz w:val="24"/>
          <w:szCs w:val="24"/>
          <w:rtl/>
        </w:rPr>
        <w:t>המשפט</w:t>
      </w:r>
      <w:r w:rsidR="007B6905" w:rsidRPr="005F3228">
        <w:rPr>
          <w:rFonts w:ascii="David" w:hAnsi="David" w:cs="David"/>
          <w:sz w:val="24"/>
          <w:szCs w:val="24"/>
          <w:rtl/>
        </w:rPr>
        <w:t xml:space="preserve"> </w:t>
      </w:r>
      <w:r w:rsidR="00CA3D77" w:rsidRPr="005F3228">
        <w:rPr>
          <w:rFonts w:ascii="David" w:hAnsi="David" w:cs="David" w:hint="cs"/>
          <w:sz w:val="24"/>
          <w:szCs w:val="24"/>
          <w:rtl/>
        </w:rPr>
        <w:t>כנימוק ל</w:t>
      </w:r>
      <w:r w:rsidR="008C1D15" w:rsidRPr="005F3228">
        <w:rPr>
          <w:rFonts w:ascii="David" w:hAnsi="David" w:cs="David"/>
          <w:sz w:val="24"/>
          <w:szCs w:val="24"/>
          <w:rtl/>
        </w:rPr>
        <w:t xml:space="preserve">החלטה לדחות את העילה בעשיית עושר </w:t>
      </w:r>
      <w:r w:rsidR="00485295" w:rsidRPr="005F3228">
        <w:rPr>
          <w:rFonts w:ascii="David" w:hAnsi="David" w:cs="David" w:hint="eastAsia"/>
          <w:sz w:val="24"/>
          <w:szCs w:val="24"/>
          <w:rtl/>
        </w:rPr>
        <w:t>אותרה</w:t>
      </w:r>
      <w:r w:rsidR="00485295" w:rsidRPr="005F3228">
        <w:rPr>
          <w:rFonts w:ascii="David" w:hAnsi="David" w:cs="David" w:hint="cs"/>
          <w:sz w:val="24"/>
          <w:szCs w:val="24"/>
          <w:rtl/>
        </w:rPr>
        <w:t xml:space="preserve"> ב</w:t>
      </w:r>
      <w:r w:rsidR="00485295" w:rsidRPr="005F3228">
        <w:rPr>
          <w:rFonts w:ascii="David" w:hAnsi="David" w:cs="David"/>
          <w:sz w:val="24"/>
          <w:szCs w:val="24"/>
          <w:rtl/>
        </w:rPr>
        <w:t>–</w:t>
      </w:r>
      <w:r w:rsidR="00485295" w:rsidRPr="005F3228">
        <w:rPr>
          <w:rFonts w:ascii="David" w:hAnsi="David" w:cs="David" w:hint="cs"/>
          <w:sz w:val="24"/>
          <w:szCs w:val="24"/>
          <w:rtl/>
        </w:rPr>
        <w:t xml:space="preserve"> 1</w:t>
      </w:r>
      <w:r w:rsidR="00C8031A" w:rsidRPr="005F3228">
        <w:rPr>
          <w:rFonts w:ascii="David" w:hAnsi="David" w:cs="David" w:hint="cs"/>
          <w:sz w:val="24"/>
          <w:szCs w:val="24"/>
          <w:rtl/>
        </w:rPr>
        <w:t>9</w:t>
      </w:r>
      <w:r w:rsidR="00485295" w:rsidRPr="005F3228">
        <w:rPr>
          <w:rFonts w:ascii="David" w:hAnsi="David" w:cs="David" w:hint="cs"/>
          <w:sz w:val="24"/>
          <w:szCs w:val="24"/>
          <w:rtl/>
        </w:rPr>
        <w:t xml:space="preserve"> </w:t>
      </w:r>
      <w:r w:rsidR="00F75C19" w:rsidRPr="005F3228">
        <w:rPr>
          <w:rFonts w:ascii="David" w:hAnsi="David" w:cs="David" w:hint="cs"/>
          <w:sz w:val="24"/>
          <w:szCs w:val="24"/>
          <w:rtl/>
        </w:rPr>
        <w:t>מקרים</w:t>
      </w:r>
      <w:r w:rsidR="00CA3D77" w:rsidRPr="005F3228">
        <w:rPr>
          <w:rFonts w:ascii="David" w:hAnsi="David" w:cs="David" w:hint="cs"/>
          <w:sz w:val="24"/>
          <w:szCs w:val="24"/>
          <w:rtl/>
        </w:rPr>
        <w:t>.</w:t>
      </w:r>
      <w:r w:rsidR="00447682" w:rsidRPr="005F3228">
        <w:rPr>
          <w:rFonts w:ascii="David" w:hAnsi="David" w:cs="David" w:hint="cs"/>
          <w:sz w:val="24"/>
          <w:szCs w:val="24"/>
          <w:rtl/>
        </w:rPr>
        <w:t xml:space="preserve"> אמירות מעין אלה מעידות על מודעות מצד בתי המשפט לקושי שבהרחבת גבולות דיני הקניין הרוחני באמצעות דיני עשיית עושר, ו</w:t>
      </w:r>
      <w:r w:rsidR="00F75C19" w:rsidRPr="005F3228">
        <w:rPr>
          <w:rFonts w:ascii="David" w:hAnsi="David" w:cs="David" w:hint="cs"/>
          <w:sz w:val="24"/>
          <w:szCs w:val="24"/>
          <w:rtl/>
        </w:rPr>
        <w:t>מבהירות</w:t>
      </w:r>
      <w:r w:rsidR="00447682" w:rsidRPr="005F3228">
        <w:rPr>
          <w:rFonts w:ascii="David" w:hAnsi="David" w:cs="David" w:hint="cs"/>
          <w:sz w:val="24"/>
          <w:szCs w:val="24"/>
          <w:rtl/>
        </w:rPr>
        <w:t>, במידה מסוימת, את ממצאינו ביחס לריסון העצמי שננקט בעניין זה.</w:t>
      </w:r>
    </w:p>
    <w:p w14:paraId="6E6CD739" w14:textId="77777777" w:rsidR="00C74C31" w:rsidRPr="005F3228" w:rsidRDefault="005C1EF5" w:rsidP="00B47817">
      <w:pPr>
        <w:spacing w:line="300" w:lineRule="exact"/>
        <w:jc w:val="both"/>
        <w:rPr>
          <w:rFonts w:ascii="David" w:hAnsi="David" w:cs="David"/>
          <w:sz w:val="24"/>
          <w:szCs w:val="24"/>
          <w:rtl/>
        </w:rPr>
      </w:pPr>
      <w:r w:rsidRPr="005F3228">
        <w:rPr>
          <w:rFonts w:ascii="David" w:hAnsi="David" w:cs="David" w:hint="cs"/>
          <w:sz w:val="24"/>
          <w:szCs w:val="24"/>
          <w:rtl/>
        </w:rPr>
        <w:t xml:space="preserve">חלוקת </w:t>
      </w:r>
      <w:r w:rsidR="00F75C19" w:rsidRPr="005F3228">
        <w:rPr>
          <w:rFonts w:ascii="David" w:hAnsi="David" w:cs="David" w:hint="cs"/>
          <w:sz w:val="24"/>
          <w:szCs w:val="24"/>
          <w:rtl/>
        </w:rPr>
        <w:t>המקרים</w:t>
      </w:r>
      <w:r w:rsidRPr="005F3228">
        <w:rPr>
          <w:rFonts w:ascii="David" w:hAnsi="David" w:cs="David" w:hint="cs"/>
          <w:sz w:val="24"/>
          <w:szCs w:val="24"/>
          <w:rtl/>
        </w:rPr>
        <w:t xml:space="preserve"> בהם </w:t>
      </w:r>
      <w:r w:rsidR="00053D2F" w:rsidRPr="005F3228">
        <w:rPr>
          <w:rFonts w:ascii="David" w:hAnsi="David" w:cs="David" w:hint="cs"/>
          <w:sz w:val="24"/>
          <w:szCs w:val="24"/>
          <w:rtl/>
        </w:rPr>
        <w:t xml:space="preserve">לא התקבלה </w:t>
      </w:r>
      <w:r w:rsidRPr="005F3228">
        <w:rPr>
          <w:rFonts w:ascii="David" w:hAnsi="David" w:cs="David" w:hint="cs"/>
          <w:sz w:val="24"/>
          <w:szCs w:val="24"/>
          <w:rtl/>
        </w:rPr>
        <w:t xml:space="preserve">העילה בעשיית עושר, לפי ההנמקה </w:t>
      </w:r>
      <w:r w:rsidR="00485295" w:rsidRPr="005F3228">
        <w:rPr>
          <w:rFonts w:ascii="David" w:hAnsi="David" w:cs="David" w:hint="cs"/>
          <w:sz w:val="24"/>
          <w:szCs w:val="24"/>
          <w:rtl/>
        </w:rPr>
        <w:t>העיקרית</w:t>
      </w:r>
      <w:r w:rsidR="00CA3D77" w:rsidRPr="005F3228">
        <w:rPr>
          <w:rFonts w:ascii="David" w:hAnsi="David" w:cs="David" w:hint="cs"/>
          <w:sz w:val="24"/>
          <w:szCs w:val="24"/>
          <w:rtl/>
        </w:rPr>
        <w:t xml:space="preserve"> </w:t>
      </w:r>
      <w:r w:rsidR="001E7C95" w:rsidRPr="005F3228">
        <w:rPr>
          <w:rFonts w:ascii="David" w:hAnsi="David" w:cs="David" w:hint="cs"/>
          <w:sz w:val="24"/>
          <w:szCs w:val="24"/>
          <w:rtl/>
        </w:rPr>
        <w:t xml:space="preserve">לכך </w:t>
      </w:r>
      <w:r w:rsidRPr="005F3228">
        <w:rPr>
          <w:rFonts w:ascii="David" w:hAnsi="David" w:cs="David" w:hint="cs"/>
          <w:sz w:val="24"/>
          <w:szCs w:val="24"/>
          <w:rtl/>
        </w:rPr>
        <w:t xml:space="preserve">מופיעה בתרשים שלהלן: </w:t>
      </w:r>
    </w:p>
    <w:p w14:paraId="6089998B" w14:textId="77777777" w:rsidR="00C8031A" w:rsidRPr="005F3228" w:rsidRDefault="00921ED0" w:rsidP="003C42FD">
      <w:pPr>
        <w:spacing w:line="300" w:lineRule="exact"/>
        <w:jc w:val="both"/>
        <w:rPr>
          <w:rFonts w:ascii="David" w:hAnsi="David" w:cs="David"/>
          <w:b/>
          <w:bCs/>
          <w:rtl/>
        </w:rPr>
      </w:pPr>
      <w:r w:rsidRPr="005F3228">
        <w:rPr>
          <w:rFonts w:ascii="David" w:hAnsi="David" w:cs="David"/>
          <w:b/>
          <w:bCs/>
          <w:noProof/>
          <w:rtl/>
        </w:rPr>
        <w:drawing>
          <wp:anchor distT="0" distB="0" distL="114300" distR="114300" simplePos="0" relativeHeight="251659264" behindDoc="0" locked="0" layoutInCell="1" allowOverlap="1" wp14:anchorId="65A0448C" wp14:editId="5072A911">
            <wp:simplePos x="0" y="0"/>
            <wp:positionH relativeFrom="column">
              <wp:posOffset>0</wp:posOffset>
            </wp:positionH>
            <wp:positionV relativeFrom="paragraph">
              <wp:posOffset>291465</wp:posOffset>
            </wp:positionV>
            <wp:extent cx="5328285" cy="3066415"/>
            <wp:effectExtent l="0" t="0" r="5715"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8285" cy="3066415"/>
                    </a:xfrm>
                    <a:prstGeom prst="rect">
                      <a:avLst/>
                    </a:prstGeom>
                    <a:noFill/>
                  </pic:spPr>
                </pic:pic>
              </a:graphicData>
            </a:graphic>
            <wp14:sizeRelH relativeFrom="page">
              <wp14:pctWidth>0</wp14:pctWidth>
            </wp14:sizeRelH>
            <wp14:sizeRelV relativeFrom="page">
              <wp14:pctHeight>0</wp14:pctHeight>
            </wp14:sizeRelV>
          </wp:anchor>
        </w:drawing>
      </w:r>
    </w:p>
    <w:p w14:paraId="19D462CF" w14:textId="77777777" w:rsidR="005C1EF5" w:rsidRPr="005F3228" w:rsidRDefault="00C8031A" w:rsidP="003C42FD">
      <w:pPr>
        <w:spacing w:line="300" w:lineRule="exact"/>
        <w:jc w:val="both"/>
        <w:rPr>
          <w:rFonts w:ascii="David" w:hAnsi="David" w:cs="David"/>
          <w:sz w:val="24"/>
          <w:szCs w:val="24"/>
          <w:rtl/>
        </w:rPr>
      </w:pPr>
      <w:r w:rsidRPr="005F3228">
        <w:rPr>
          <w:rFonts w:ascii="David" w:hAnsi="David" w:cs="David" w:hint="cs"/>
          <w:sz w:val="24"/>
          <w:szCs w:val="24"/>
          <w:rtl/>
        </w:rPr>
        <w:t>שרטוט</w:t>
      </w:r>
      <w:r w:rsidR="005C1EF5" w:rsidRPr="005F3228">
        <w:rPr>
          <w:rFonts w:ascii="David" w:hAnsi="David" w:cs="David"/>
          <w:sz w:val="24"/>
          <w:szCs w:val="24"/>
          <w:rtl/>
        </w:rPr>
        <w:t xml:space="preserve"> מספר 10: </w:t>
      </w:r>
      <w:r w:rsidR="00053D2F" w:rsidRPr="005F3228">
        <w:rPr>
          <w:rFonts w:ascii="David" w:hAnsi="David" w:cs="David" w:hint="cs"/>
          <w:sz w:val="24"/>
          <w:szCs w:val="24"/>
          <w:rtl/>
        </w:rPr>
        <w:t>אי קבלת</w:t>
      </w:r>
      <w:r w:rsidR="00053D2F" w:rsidRPr="005F3228">
        <w:rPr>
          <w:rFonts w:ascii="David" w:hAnsi="David" w:cs="David"/>
          <w:sz w:val="24"/>
          <w:szCs w:val="24"/>
          <w:rtl/>
        </w:rPr>
        <w:t xml:space="preserve"> </w:t>
      </w:r>
      <w:r w:rsidR="006F5063" w:rsidRPr="005F3228">
        <w:rPr>
          <w:rFonts w:ascii="David" w:hAnsi="David" w:cs="David"/>
          <w:sz w:val="24"/>
          <w:szCs w:val="24"/>
          <w:rtl/>
        </w:rPr>
        <w:t>התביעה בעשיית עושר: התפלגות הנמקות</w:t>
      </w:r>
      <w:r w:rsidR="00FB630B" w:rsidRPr="005F3228">
        <w:rPr>
          <w:rFonts w:ascii="David" w:hAnsi="David" w:cs="David"/>
          <w:sz w:val="24"/>
          <w:szCs w:val="24"/>
          <w:rtl/>
        </w:rPr>
        <w:t xml:space="preserve"> </w:t>
      </w:r>
    </w:p>
    <w:p w14:paraId="03DF559A" w14:textId="77777777" w:rsidR="00DD452B" w:rsidRPr="005F3228" w:rsidRDefault="00DD452B" w:rsidP="00A31FD2">
      <w:pPr>
        <w:spacing w:line="300" w:lineRule="exact"/>
        <w:jc w:val="both"/>
        <w:rPr>
          <w:rFonts w:ascii="David" w:hAnsi="David" w:cs="David"/>
          <w:sz w:val="24"/>
          <w:szCs w:val="24"/>
        </w:rPr>
      </w:pPr>
      <w:r w:rsidRPr="005F3228">
        <w:rPr>
          <w:rFonts w:ascii="David" w:hAnsi="David" w:cs="David"/>
          <w:sz w:val="24"/>
          <w:szCs w:val="24"/>
          <w:rtl/>
        </w:rPr>
        <w:lastRenderedPageBreak/>
        <w:t>נשוב ונדון במשמעות הממצאים האמורים בהמשך הדברים.</w:t>
      </w:r>
      <w:r w:rsidRPr="005F3228">
        <w:rPr>
          <w:rStyle w:val="FootnoteReference"/>
          <w:rFonts w:ascii="David" w:hAnsi="David" w:cs="David"/>
          <w:sz w:val="24"/>
          <w:szCs w:val="24"/>
          <w:rtl/>
        </w:rPr>
        <w:footnoteReference w:id="67"/>
      </w:r>
      <w:r w:rsidRPr="005F3228">
        <w:rPr>
          <w:rFonts w:ascii="David" w:hAnsi="David" w:cs="David"/>
          <w:sz w:val="24"/>
          <w:szCs w:val="24"/>
          <w:rtl/>
        </w:rPr>
        <w:t xml:space="preserve"> אולם התמונה המצטיירת כבר בשלב  זה היא כי בניגוד לתחזיות פסימיות מסוימות, הלכת </w:t>
      </w:r>
      <w:proofErr w:type="spellStart"/>
      <w:r w:rsidRPr="005F3228">
        <w:rPr>
          <w:rFonts w:ascii="David" w:hAnsi="David" w:cs="David"/>
          <w:sz w:val="24"/>
          <w:szCs w:val="24"/>
          <w:rtl/>
        </w:rPr>
        <w:t>א.ש.י.ר</w:t>
      </w:r>
      <w:proofErr w:type="spellEnd"/>
      <w:r w:rsidRPr="005F3228">
        <w:rPr>
          <w:rFonts w:ascii="David" w:hAnsi="David" w:cs="David"/>
          <w:sz w:val="24"/>
          <w:szCs w:val="24"/>
          <w:rtl/>
        </w:rPr>
        <w:t xml:space="preserve">. לא גרמה ל"רעידת אדמה" בתחום הקניין הרוחני. מתוך </w:t>
      </w:r>
      <w:r w:rsidR="003274B4" w:rsidRPr="005F3228">
        <w:rPr>
          <w:rFonts w:ascii="David" w:hAnsi="David" w:cs="David" w:hint="cs"/>
          <w:sz w:val="24"/>
          <w:szCs w:val="24"/>
          <w:rtl/>
        </w:rPr>
        <w:t>430</w:t>
      </w:r>
      <w:r w:rsidR="00A31FD2" w:rsidRPr="005F3228">
        <w:rPr>
          <w:rFonts w:ascii="David" w:hAnsi="David" w:cs="David"/>
          <w:sz w:val="24"/>
          <w:szCs w:val="24"/>
          <w:rtl/>
        </w:rPr>
        <w:t xml:space="preserve"> </w:t>
      </w:r>
      <w:r w:rsidRPr="005F3228">
        <w:rPr>
          <w:rFonts w:ascii="David" w:hAnsi="David" w:cs="David"/>
          <w:sz w:val="24"/>
          <w:szCs w:val="24"/>
          <w:rtl/>
        </w:rPr>
        <w:t>פסקי הדין</w:t>
      </w:r>
      <w:r w:rsidR="00F75C19" w:rsidRPr="005F3228">
        <w:rPr>
          <w:rFonts w:ascii="David" w:hAnsi="David" w:cs="David" w:hint="cs"/>
          <w:sz w:val="24"/>
          <w:szCs w:val="24"/>
          <w:rtl/>
        </w:rPr>
        <w:t xml:space="preserve"> והחלטות</w:t>
      </w:r>
      <w:r w:rsidRPr="005F3228">
        <w:rPr>
          <w:rFonts w:ascii="David" w:hAnsi="David" w:cs="David"/>
          <w:sz w:val="24"/>
          <w:szCs w:val="24"/>
          <w:rtl/>
        </w:rPr>
        <w:t xml:space="preserve"> </w:t>
      </w:r>
      <w:r w:rsidR="00F75C19" w:rsidRPr="005F3228">
        <w:rPr>
          <w:rFonts w:ascii="David" w:hAnsi="David" w:cs="David" w:hint="cs"/>
          <w:sz w:val="24"/>
          <w:szCs w:val="24"/>
          <w:rtl/>
        </w:rPr>
        <w:t xml:space="preserve">הביניים </w:t>
      </w:r>
      <w:r w:rsidRPr="005F3228">
        <w:rPr>
          <w:rFonts w:ascii="David" w:hAnsi="David" w:cs="David"/>
          <w:sz w:val="24"/>
          <w:szCs w:val="24"/>
          <w:rtl/>
        </w:rPr>
        <w:t xml:space="preserve">שניתנו במהלך עשרים השנים מאז ההלכה ועסקו בתביעות </w:t>
      </w:r>
      <w:r w:rsidR="00A31FD2" w:rsidRPr="005F3228">
        <w:rPr>
          <w:rFonts w:ascii="David" w:hAnsi="David" w:cs="David" w:hint="cs"/>
          <w:sz w:val="24"/>
          <w:szCs w:val="24"/>
          <w:rtl/>
        </w:rPr>
        <w:t>בהן נטענה עילה בעשיית עושר לצד עילת קניין רוחני</w:t>
      </w:r>
      <w:r w:rsidRPr="005F3228">
        <w:rPr>
          <w:rFonts w:ascii="David" w:hAnsi="David" w:cs="David"/>
          <w:sz w:val="24"/>
          <w:szCs w:val="24"/>
        </w:rPr>
        <w:t>,</w:t>
      </w:r>
      <w:r w:rsidR="004F1859" w:rsidRPr="005F3228">
        <w:rPr>
          <w:rFonts w:ascii="David" w:hAnsi="David" w:cs="David" w:hint="cs"/>
          <w:sz w:val="24"/>
          <w:szCs w:val="24"/>
          <w:rtl/>
        </w:rPr>
        <w:t xml:space="preserve"> </w:t>
      </w:r>
      <w:r w:rsidRPr="005F3228">
        <w:rPr>
          <w:rFonts w:ascii="David" w:hAnsi="David" w:cs="David"/>
          <w:sz w:val="24"/>
          <w:szCs w:val="24"/>
          <w:rtl/>
        </w:rPr>
        <w:t xml:space="preserve">מספר </w:t>
      </w:r>
      <w:r w:rsidR="00F75C19" w:rsidRPr="005F3228">
        <w:rPr>
          <w:rFonts w:ascii="David" w:hAnsi="David" w:cs="David" w:hint="cs"/>
          <w:sz w:val="24"/>
          <w:szCs w:val="24"/>
          <w:rtl/>
        </w:rPr>
        <w:t>המקרים</w:t>
      </w:r>
      <w:r w:rsidR="004F1859" w:rsidRPr="005F3228">
        <w:rPr>
          <w:rFonts w:ascii="David" w:hAnsi="David" w:cs="David" w:hint="cs"/>
          <w:sz w:val="24"/>
          <w:szCs w:val="24"/>
          <w:rtl/>
        </w:rPr>
        <w:t xml:space="preserve"> "</w:t>
      </w:r>
      <w:r w:rsidRPr="005F3228">
        <w:rPr>
          <w:rFonts w:ascii="David" w:hAnsi="David" w:cs="David"/>
          <w:sz w:val="24"/>
          <w:szCs w:val="24"/>
          <w:rtl/>
        </w:rPr>
        <w:t>דמויי</w:t>
      </w:r>
      <w:r w:rsidRPr="005F3228">
        <w:rPr>
          <w:rFonts w:ascii="David" w:hAnsi="David" w:cs="David"/>
          <w:b/>
          <w:bCs/>
          <w:sz w:val="24"/>
          <w:szCs w:val="24"/>
          <w:rtl/>
        </w:rPr>
        <w:t xml:space="preserve"> </w:t>
      </w:r>
      <w:proofErr w:type="spellStart"/>
      <w:r w:rsidRPr="005F3228">
        <w:rPr>
          <w:rFonts w:ascii="David" w:hAnsi="David" w:cs="David"/>
          <w:sz w:val="24"/>
          <w:szCs w:val="24"/>
          <w:rtl/>
        </w:rPr>
        <w:t>א.ש.י.ר</w:t>
      </w:r>
      <w:proofErr w:type="spellEnd"/>
      <w:r w:rsidR="004F1859" w:rsidRPr="005F3228">
        <w:rPr>
          <w:rFonts w:ascii="David" w:hAnsi="David" w:cs="David" w:hint="cs"/>
          <w:sz w:val="24"/>
          <w:szCs w:val="24"/>
          <w:rtl/>
        </w:rPr>
        <w:t>"</w:t>
      </w:r>
      <w:r w:rsidRPr="005F3228">
        <w:rPr>
          <w:rFonts w:ascii="David" w:hAnsi="David" w:cs="David"/>
          <w:sz w:val="24"/>
          <w:szCs w:val="24"/>
          <w:rtl/>
        </w:rPr>
        <w:t xml:space="preserve">, בהם התקבלה עילת עשיית עושר ולא במשפט מבלי שהתקבלה אף עילה בקניין רוחני עומד על </w:t>
      </w:r>
      <w:r w:rsidR="00FB3AD2" w:rsidRPr="005F3228">
        <w:rPr>
          <w:rFonts w:ascii="David" w:hAnsi="David" w:cs="David" w:hint="cs"/>
          <w:sz w:val="24"/>
          <w:szCs w:val="24"/>
          <w:rtl/>
        </w:rPr>
        <w:t>2</w:t>
      </w:r>
      <w:r w:rsidR="00424A30" w:rsidRPr="005F3228">
        <w:rPr>
          <w:rFonts w:ascii="David" w:hAnsi="David" w:cs="David" w:hint="cs"/>
          <w:sz w:val="24"/>
          <w:szCs w:val="24"/>
          <w:rtl/>
        </w:rPr>
        <w:t>4</w:t>
      </w:r>
      <w:r w:rsidR="00FB3AD2" w:rsidRPr="005F3228">
        <w:rPr>
          <w:rFonts w:ascii="David" w:hAnsi="David" w:cs="David" w:hint="cs"/>
          <w:sz w:val="24"/>
          <w:szCs w:val="24"/>
          <w:rtl/>
        </w:rPr>
        <w:t xml:space="preserve"> </w:t>
      </w:r>
      <w:r w:rsidRPr="005F3228">
        <w:rPr>
          <w:rFonts w:ascii="David" w:hAnsi="David" w:cs="David"/>
          <w:sz w:val="24"/>
          <w:szCs w:val="24"/>
          <w:rtl/>
        </w:rPr>
        <w:t>מקרים בלבד, שהם כ – 5</w:t>
      </w:r>
      <w:r w:rsidR="008B04A7" w:rsidRPr="005F3228">
        <w:rPr>
          <w:rFonts w:ascii="David" w:hAnsi="David" w:cs="David" w:hint="cs"/>
          <w:sz w:val="24"/>
          <w:szCs w:val="24"/>
          <w:rtl/>
        </w:rPr>
        <w:t>.6</w:t>
      </w:r>
      <w:r w:rsidRPr="005F3228">
        <w:rPr>
          <w:rFonts w:ascii="David" w:hAnsi="David" w:cs="David"/>
          <w:sz w:val="24"/>
          <w:szCs w:val="24"/>
          <w:rtl/>
        </w:rPr>
        <w:t xml:space="preserve">% בלבד מכלל המקרים שנדונו. בחלק הבא </w:t>
      </w:r>
      <w:r w:rsidR="00535A02" w:rsidRPr="005F3228">
        <w:rPr>
          <w:rFonts w:ascii="David" w:hAnsi="David" w:cs="David" w:hint="cs"/>
          <w:sz w:val="24"/>
          <w:szCs w:val="24"/>
          <w:rtl/>
        </w:rPr>
        <w:t>נציג את תוצאות</w:t>
      </w:r>
      <w:r w:rsidRPr="005F3228">
        <w:rPr>
          <w:rFonts w:ascii="David" w:hAnsi="David" w:cs="David"/>
          <w:sz w:val="24"/>
          <w:szCs w:val="24"/>
          <w:rtl/>
        </w:rPr>
        <w:t xml:space="preserve"> </w:t>
      </w:r>
      <w:r w:rsidR="00535A02" w:rsidRPr="005F3228">
        <w:rPr>
          <w:rFonts w:ascii="David" w:hAnsi="David" w:cs="David" w:hint="cs"/>
          <w:sz w:val="24"/>
          <w:szCs w:val="24"/>
          <w:rtl/>
        </w:rPr>
        <w:t>המחקר האיכותני שערכנו ביחס ל</w:t>
      </w:r>
      <w:r w:rsidRPr="005F3228">
        <w:rPr>
          <w:rFonts w:ascii="David" w:hAnsi="David" w:cs="David"/>
          <w:sz w:val="24"/>
          <w:szCs w:val="24"/>
          <w:rtl/>
        </w:rPr>
        <w:t xml:space="preserve">פסקי הדין </w:t>
      </w:r>
      <w:r w:rsidR="00F75C19" w:rsidRPr="005F3228">
        <w:rPr>
          <w:rFonts w:ascii="David" w:hAnsi="David" w:cs="David" w:hint="cs"/>
          <w:sz w:val="24"/>
          <w:szCs w:val="24"/>
          <w:rtl/>
        </w:rPr>
        <w:t xml:space="preserve">וההחלטות </w:t>
      </w:r>
      <w:r w:rsidRPr="005F3228">
        <w:rPr>
          <w:rFonts w:ascii="David" w:hAnsi="David" w:cs="David"/>
          <w:sz w:val="24"/>
          <w:szCs w:val="24"/>
          <w:rtl/>
        </w:rPr>
        <w:t xml:space="preserve">דמויי </w:t>
      </w:r>
      <w:proofErr w:type="spellStart"/>
      <w:r w:rsidRPr="005F3228">
        <w:rPr>
          <w:rFonts w:ascii="David" w:hAnsi="David" w:cs="David"/>
          <w:sz w:val="24"/>
          <w:szCs w:val="24"/>
          <w:rtl/>
        </w:rPr>
        <w:t>א.ש.י.ר</w:t>
      </w:r>
      <w:proofErr w:type="spellEnd"/>
      <w:r w:rsidRPr="005F3228">
        <w:rPr>
          <w:rFonts w:ascii="David" w:hAnsi="David" w:cs="David"/>
          <w:sz w:val="24"/>
          <w:szCs w:val="24"/>
          <w:rtl/>
        </w:rPr>
        <w:t xml:space="preserve">., </w:t>
      </w:r>
      <w:r w:rsidR="00535A02" w:rsidRPr="005F3228">
        <w:rPr>
          <w:rFonts w:ascii="David" w:hAnsi="David" w:cs="David" w:hint="cs"/>
          <w:sz w:val="24"/>
          <w:szCs w:val="24"/>
          <w:rtl/>
        </w:rPr>
        <w:t>במטרה</w:t>
      </w:r>
      <w:r w:rsidRPr="005F3228">
        <w:rPr>
          <w:rFonts w:ascii="David" w:hAnsi="David" w:cs="David"/>
          <w:sz w:val="24"/>
          <w:szCs w:val="24"/>
          <w:rtl/>
        </w:rPr>
        <w:t xml:space="preserve"> לנסות ולאתר בהם דפוסים משותפים. </w:t>
      </w:r>
    </w:p>
    <w:p w14:paraId="29E3A37A" w14:textId="77777777" w:rsidR="00DD452B" w:rsidRPr="005F3228" w:rsidRDefault="00DD452B" w:rsidP="00DD452B">
      <w:pPr>
        <w:pStyle w:val="Heading1"/>
        <w:spacing w:line="300" w:lineRule="exact"/>
        <w:rPr>
          <w:rFonts w:ascii="David" w:hAnsi="David" w:cs="David"/>
          <w:sz w:val="24"/>
          <w:szCs w:val="24"/>
          <w:rtl/>
        </w:rPr>
      </w:pPr>
      <w:bookmarkStart w:id="42" w:name="_Toc28070288"/>
      <w:bookmarkStart w:id="43" w:name="_Toc28197966"/>
      <w:r w:rsidRPr="005F3228">
        <w:rPr>
          <w:rFonts w:ascii="David" w:hAnsi="David" w:cs="David"/>
          <w:sz w:val="24"/>
          <w:szCs w:val="24"/>
          <w:rtl/>
        </w:rPr>
        <w:t>ג. מבט איכותני</w:t>
      </w:r>
      <w:bookmarkEnd w:id="42"/>
      <w:r w:rsidRPr="005F3228">
        <w:rPr>
          <w:rFonts w:ascii="David" w:hAnsi="David" w:cs="David"/>
          <w:sz w:val="24"/>
          <w:szCs w:val="24"/>
          <w:rtl/>
        </w:rPr>
        <w:t xml:space="preserve"> על המקרים "דמויי </w:t>
      </w:r>
      <w:proofErr w:type="spellStart"/>
      <w:r w:rsidRPr="005F3228">
        <w:rPr>
          <w:rFonts w:ascii="David" w:hAnsi="David" w:cs="David"/>
          <w:sz w:val="24"/>
          <w:szCs w:val="24"/>
          <w:rtl/>
        </w:rPr>
        <w:t>א.ש.י.ר</w:t>
      </w:r>
      <w:proofErr w:type="spellEnd"/>
      <w:r w:rsidRPr="005F3228">
        <w:rPr>
          <w:rFonts w:ascii="David" w:hAnsi="David" w:cs="David"/>
          <w:sz w:val="24"/>
          <w:szCs w:val="24"/>
          <w:rtl/>
        </w:rPr>
        <w:t>"</w:t>
      </w:r>
      <w:bookmarkEnd w:id="43"/>
    </w:p>
    <w:p w14:paraId="1D035172" w14:textId="7E33ED57" w:rsidR="007F1AD4" w:rsidRPr="005F3228" w:rsidRDefault="00DD452B" w:rsidP="00AB33DA">
      <w:pPr>
        <w:spacing w:line="300" w:lineRule="exact"/>
        <w:jc w:val="both"/>
        <w:rPr>
          <w:rFonts w:ascii="David" w:hAnsi="David" w:cs="David"/>
          <w:sz w:val="24"/>
          <w:szCs w:val="24"/>
          <w:rtl/>
        </w:rPr>
      </w:pPr>
      <w:r w:rsidRPr="005F3228">
        <w:rPr>
          <w:rFonts w:ascii="David" w:hAnsi="David" w:cs="David"/>
          <w:sz w:val="24"/>
          <w:szCs w:val="24"/>
          <w:rtl/>
        </w:rPr>
        <w:t xml:space="preserve">מבט מקרוב על המקרים בהם בתי המשפט עשו שימוש בהלכת </w:t>
      </w:r>
      <w:proofErr w:type="spellStart"/>
      <w:r w:rsidRPr="005F3228">
        <w:rPr>
          <w:rFonts w:ascii="David" w:hAnsi="David" w:cs="David"/>
          <w:sz w:val="24"/>
          <w:szCs w:val="24"/>
          <w:rtl/>
        </w:rPr>
        <w:t>א.ש.י.ר</w:t>
      </w:r>
      <w:proofErr w:type="spellEnd"/>
      <w:r w:rsidRPr="005F3228">
        <w:rPr>
          <w:rFonts w:ascii="David" w:hAnsi="David" w:cs="David"/>
          <w:sz w:val="24"/>
          <w:szCs w:val="24"/>
          <w:rtl/>
        </w:rPr>
        <w:t xml:space="preserve">. לשם מתן סעד בעשיית עושר, בהעדר </w:t>
      </w:r>
      <w:r w:rsidR="003E4DDD" w:rsidRPr="005F3228">
        <w:rPr>
          <w:rFonts w:ascii="David" w:hAnsi="David" w:cs="David" w:hint="cs"/>
          <w:sz w:val="24"/>
          <w:szCs w:val="24"/>
          <w:rtl/>
        </w:rPr>
        <w:t>סעד מכוח דיני הקניין הרוחני</w:t>
      </w:r>
      <w:r w:rsidRPr="005F3228">
        <w:rPr>
          <w:rFonts w:ascii="David" w:hAnsi="David" w:cs="David"/>
          <w:sz w:val="24"/>
          <w:szCs w:val="24"/>
          <w:rtl/>
        </w:rPr>
        <w:t>, מעלה כי ניתן לסווג אותם למספר קטגוריות עיקריות: 1) מקרים בהם קיים חסר תחיקתי בהגנה על תוצרים רוחניים מהסוג בו דובר; 2) מקרים בהם התוצר הרוחני שעמד על הפרק היה עיצוב לא רשום של מוצר תעשייתי; 3</w:t>
      </w:r>
      <w:r w:rsidRPr="005F3228">
        <w:rPr>
          <w:rFonts w:ascii="David" w:hAnsi="David" w:cs="David"/>
          <w:sz w:val="24"/>
          <w:szCs w:val="24"/>
        </w:rPr>
        <w:t>(</w:t>
      </w:r>
      <w:r w:rsidRPr="005F3228">
        <w:rPr>
          <w:rFonts w:ascii="David" w:hAnsi="David" w:cs="David"/>
          <w:sz w:val="24"/>
          <w:szCs w:val="24"/>
          <w:rtl/>
        </w:rPr>
        <w:t xml:space="preserve"> </w:t>
      </w:r>
      <w:r w:rsidRPr="005F3228">
        <w:rPr>
          <w:rFonts w:ascii="David" w:hAnsi="David" w:cs="David" w:hint="cs"/>
          <w:sz w:val="24"/>
          <w:szCs w:val="24"/>
          <w:rtl/>
        </w:rPr>
        <w:t xml:space="preserve">קטגוריה שיורית הכוללת </w:t>
      </w:r>
      <w:r w:rsidRPr="005F3228">
        <w:rPr>
          <w:rFonts w:ascii="David" w:hAnsi="David" w:cs="David" w:hint="eastAsia"/>
          <w:sz w:val="24"/>
          <w:szCs w:val="24"/>
          <w:rtl/>
        </w:rPr>
        <w:t>ארבעה</w:t>
      </w:r>
      <w:r w:rsidRPr="005F3228">
        <w:rPr>
          <w:rFonts w:ascii="David" w:hAnsi="David" w:cs="David"/>
          <w:sz w:val="24"/>
          <w:szCs w:val="24"/>
          <w:rtl/>
        </w:rPr>
        <w:t xml:space="preserve"> </w:t>
      </w:r>
      <w:r w:rsidRPr="005F3228">
        <w:rPr>
          <w:rFonts w:ascii="David" w:hAnsi="David" w:cs="David" w:hint="eastAsia"/>
          <w:sz w:val="24"/>
          <w:szCs w:val="24"/>
          <w:rtl/>
        </w:rPr>
        <w:t>מקרים</w:t>
      </w:r>
      <w:r w:rsidRPr="005F3228">
        <w:rPr>
          <w:rFonts w:ascii="David" w:hAnsi="David" w:cs="David"/>
          <w:sz w:val="24"/>
          <w:szCs w:val="24"/>
          <w:rtl/>
        </w:rPr>
        <w:t xml:space="preserve"> </w:t>
      </w:r>
      <w:r w:rsidRPr="005F3228">
        <w:rPr>
          <w:rFonts w:ascii="David" w:hAnsi="David" w:cs="David" w:hint="eastAsia"/>
          <w:sz w:val="24"/>
          <w:szCs w:val="24"/>
          <w:rtl/>
        </w:rPr>
        <w:t>בלבד</w:t>
      </w:r>
      <w:r w:rsidRPr="005F3228">
        <w:rPr>
          <w:rFonts w:ascii="David" w:hAnsi="David" w:cs="David" w:hint="cs"/>
          <w:sz w:val="24"/>
          <w:szCs w:val="24"/>
          <w:rtl/>
        </w:rPr>
        <w:t xml:space="preserve"> בהם נעשה שימוש בהלכת </w:t>
      </w:r>
      <w:proofErr w:type="spellStart"/>
      <w:r w:rsidRPr="005F3228">
        <w:rPr>
          <w:rFonts w:ascii="David" w:hAnsi="David" w:cs="David" w:hint="cs"/>
          <w:sz w:val="24"/>
          <w:szCs w:val="24"/>
          <w:rtl/>
        </w:rPr>
        <w:t>א.ש.י.ר</w:t>
      </w:r>
      <w:proofErr w:type="spellEnd"/>
      <w:r w:rsidRPr="005F3228">
        <w:rPr>
          <w:rFonts w:ascii="David" w:hAnsi="David" w:cs="David" w:hint="cs"/>
          <w:sz w:val="24"/>
          <w:szCs w:val="24"/>
          <w:rtl/>
        </w:rPr>
        <w:t>. בהקשרים אחרים</w:t>
      </w:r>
      <w:r w:rsidR="00FB3AD2" w:rsidRPr="005F3228">
        <w:rPr>
          <w:rFonts w:ascii="David" w:hAnsi="David" w:cs="David" w:hint="cs"/>
          <w:sz w:val="24"/>
          <w:szCs w:val="24"/>
          <w:rtl/>
        </w:rPr>
        <w:t>, שחלקם אולי עשויים</w:t>
      </w:r>
      <w:r w:rsidRPr="005F3228">
        <w:rPr>
          <w:rFonts w:ascii="David" w:hAnsi="David" w:cs="David" w:hint="cs"/>
          <w:sz w:val="24"/>
          <w:szCs w:val="24"/>
          <w:rtl/>
        </w:rPr>
        <w:t xml:space="preserve"> להיחשב כ"פריצת גבולות"</w:t>
      </w:r>
      <w:r w:rsidR="00B5791E" w:rsidRPr="005F3228">
        <w:rPr>
          <w:rFonts w:ascii="David" w:hAnsi="David" w:cs="David" w:hint="cs"/>
          <w:sz w:val="24"/>
          <w:szCs w:val="24"/>
          <w:rtl/>
        </w:rPr>
        <w:t>.</w:t>
      </w:r>
      <w:r w:rsidR="007B18A6" w:rsidRPr="005F3228">
        <w:rPr>
          <w:rFonts w:ascii="David" w:hAnsi="David" w:cs="David" w:hint="cs"/>
          <w:sz w:val="24"/>
          <w:szCs w:val="24"/>
          <w:rtl/>
        </w:rPr>
        <w:t xml:space="preserve"> </w:t>
      </w:r>
      <w:r w:rsidR="00B5791E" w:rsidRPr="005F3228">
        <w:rPr>
          <w:rFonts w:ascii="David" w:hAnsi="David" w:cs="David" w:hint="eastAsia"/>
          <w:sz w:val="24"/>
          <w:szCs w:val="24"/>
          <w:rtl/>
        </w:rPr>
        <w:t>לצד</w:t>
      </w:r>
      <w:r w:rsidR="00B5791E" w:rsidRPr="005F3228">
        <w:rPr>
          <w:rFonts w:ascii="David" w:hAnsi="David" w:cs="David"/>
          <w:sz w:val="24"/>
          <w:szCs w:val="24"/>
          <w:rtl/>
        </w:rPr>
        <w:t xml:space="preserve"> </w:t>
      </w:r>
      <w:r w:rsidR="00B5791E" w:rsidRPr="005F3228">
        <w:rPr>
          <w:rFonts w:ascii="David" w:hAnsi="David" w:cs="David" w:hint="cs"/>
          <w:sz w:val="24"/>
          <w:szCs w:val="24"/>
          <w:rtl/>
        </w:rPr>
        <w:t xml:space="preserve">שלוש </w:t>
      </w:r>
      <w:r w:rsidR="00B5791E" w:rsidRPr="005F3228">
        <w:rPr>
          <w:rFonts w:ascii="David" w:hAnsi="David" w:cs="David"/>
          <w:sz w:val="24"/>
          <w:szCs w:val="24"/>
          <w:rtl/>
        </w:rPr>
        <w:t>קטגוריות אלה, נעשה לאחרונה</w:t>
      </w:r>
      <w:r w:rsidR="00AB33DA" w:rsidRPr="005F3228">
        <w:rPr>
          <w:rFonts w:ascii="David" w:hAnsi="David" w:cs="David" w:hint="cs"/>
          <w:sz w:val="24"/>
          <w:szCs w:val="24"/>
          <w:rtl/>
        </w:rPr>
        <w:t>,</w:t>
      </w:r>
      <w:r w:rsidR="00AF689B" w:rsidRPr="005F3228">
        <w:rPr>
          <w:rFonts w:ascii="David" w:hAnsi="David" w:cs="David" w:hint="cs"/>
          <w:sz w:val="24"/>
          <w:szCs w:val="24"/>
          <w:rtl/>
        </w:rPr>
        <w:t xml:space="preserve"> </w:t>
      </w:r>
      <w:r w:rsidR="00AB33DA" w:rsidRPr="005F3228">
        <w:rPr>
          <w:rFonts w:ascii="David" w:hAnsi="David" w:cs="David" w:hint="cs"/>
          <w:sz w:val="24"/>
          <w:szCs w:val="24"/>
          <w:rtl/>
        </w:rPr>
        <w:t xml:space="preserve">במקרה אחד, </w:t>
      </w:r>
      <w:r w:rsidR="00AF689B" w:rsidRPr="005F3228">
        <w:rPr>
          <w:rFonts w:ascii="David" w:hAnsi="David" w:cs="David" w:hint="cs"/>
          <w:sz w:val="24"/>
          <w:szCs w:val="24"/>
          <w:rtl/>
        </w:rPr>
        <w:t>"</w:t>
      </w:r>
      <w:r w:rsidRPr="005F3228">
        <w:rPr>
          <w:rFonts w:ascii="David" w:hAnsi="David" w:cs="David" w:hint="cs"/>
          <w:sz w:val="24"/>
          <w:szCs w:val="24"/>
          <w:rtl/>
        </w:rPr>
        <w:t xml:space="preserve">שימוש </w:t>
      </w:r>
      <w:r w:rsidR="00AF689B" w:rsidRPr="005F3228">
        <w:rPr>
          <w:rFonts w:ascii="David" w:hAnsi="David" w:cs="David" w:hint="cs"/>
          <w:sz w:val="24"/>
          <w:szCs w:val="24"/>
          <w:rtl/>
        </w:rPr>
        <w:t xml:space="preserve">הופכי" </w:t>
      </w:r>
      <w:r w:rsidR="002D4C0D" w:rsidRPr="005F3228">
        <w:rPr>
          <w:rFonts w:ascii="David" w:hAnsi="David" w:cs="David" w:hint="cs"/>
          <w:sz w:val="24"/>
          <w:szCs w:val="24"/>
          <w:rtl/>
        </w:rPr>
        <w:t>בדיני עשיית עושר</w:t>
      </w:r>
      <w:r w:rsidRPr="005F3228">
        <w:rPr>
          <w:rFonts w:ascii="David" w:hAnsi="David" w:cs="David" w:hint="cs"/>
          <w:sz w:val="24"/>
          <w:szCs w:val="24"/>
          <w:rtl/>
        </w:rPr>
        <w:t xml:space="preserve"> על מנת לצמצם את זכויות בעל הקניין הרוחני, ולהקל על שימוש מתחרה בתוצר הרוחני. </w:t>
      </w:r>
    </w:p>
    <w:p w14:paraId="235838E4" w14:textId="6FE27BE2" w:rsidR="00DD452B" w:rsidRPr="005F3228" w:rsidRDefault="00AC2A57" w:rsidP="00AC2A57">
      <w:pPr>
        <w:spacing w:line="300" w:lineRule="exact"/>
        <w:jc w:val="both"/>
        <w:rPr>
          <w:rFonts w:ascii="David" w:hAnsi="David" w:cs="David"/>
          <w:sz w:val="24"/>
          <w:szCs w:val="24"/>
          <w:rtl/>
        </w:rPr>
      </w:pPr>
      <w:r w:rsidRPr="005F3228">
        <w:rPr>
          <w:rFonts w:ascii="David" w:hAnsi="David" w:cs="David" w:hint="cs"/>
          <w:sz w:val="24"/>
          <w:szCs w:val="24"/>
          <w:rtl/>
        </w:rPr>
        <w:t>בפסקאות הבאות</w:t>
      </w:r>
      <w:r w:rsidR="00AF689B" w:rsidRPr="005F3228">
        <w:rPr>
          <w:rFonts w:ascii="David" w:hAnsi="David" w:cs="David" w:hint="cs"/>
          <w:sz w:val="24"/>
          <w:szCs w:val="24"/>
          <w:rtl/>
        </w:rPr>
        <w:t xml:space="preserve"> נתאר בפירוט כל </w:t>
      </w:r>
      <w:r w:rsidRPr="005F3228">
        <w:rPr>
          <w:rFonts w:ascii="David" w:hAnsi="David" w:cs="David" w:hint="cs"/>
          <w:sz w:val="24"/>
          <w:szCs w:val="24"/>
          <w:rtl/>
        </w:rPr>
        <w:t>אחד מסוגי ה</w:t>
      </w:r>
      <w:r w:rsidR="009C5BF6" w:rsidRPr="005F3228">
        <w:rPr>
          <w:rFonts w:ascii="David" w:hAnsi="David" w:cs="David" w:hint="cs"/>
          <w:sz w:val="24"/>
          <w:szCs w:val="24"/>
          <w:rtl/>
        </w:rPr>
        <w:t>מקר</w:t>
      </w:r>
      <w:r w:rsidRPr="005F3228">
        <w:rPr>
          <w:rFonts w:ascii="David" w:hAnsi="David" w:cs="David" w:hint="cs"/>
          <w:sz w:val="24"/>
          <w:szCs w:val="24"/>
          <w:rtl/>
        </w:rPr>
        <w:t>ים</w:t>
      </w:r>
      <w:r w:rsidR="00396A45" w:rsidRPr="005F3228">
        <w:rPr>
          <w:rFonts w:ascii="David" w:hAnsi="David" w:cs="David" w:hint="cs"/>
          <w:sz w:val="24"/>
          <w:szCs w:val="24"/>
          <w:rtl/>
        </w:rPr>
        <w:t xml:space="preserve"> הללו</w:t>
      </w:r>
      <w:r w:rsidR="00AF689B" w:rsidRPr="005F3228">
        <w:rPr>
          <w:rFonts w:ascii="David" w:hAnsi="David" w:cs="David" w:hint="cs"/>
          <w:sz w:val="24"/>
          <w:szCs w:val="24"/>
          <w:rtl/>
        </w:rPr>
        <w:t>.</w:t>
      </w:r>
    </w:p>
    <w:p w14:paraId="0A8B3855" w14:textId="77777777" w:rsidR="00DD452B" w:rsidRPr="005F3228" w:rsidRDefault="00DD452B" w:rsidP="00DD452B">
      <w:pPr>
        <w:pStyle w:val="ListParagraph"/>
        <w:numPr>
          <w:ilvl w:val="0"/>
          <w:numId w:val="11"/>
        </w:numPr>
        <w:spacing w:line="300" w:lineRule="exact"/>
        <w:ind w:left="296"/>
        <w:jc w:val="both"/>
        <w:rPr>
          <w:rFonts w:ascii="David" w:hAnsi="David" w:cs="David"/>
          <w:b/>
          <w:bCs/>
          <w:sz w:val="24"/>
          <w:szCs w:val="24"/>
          <w:rtl/>
        </w:rPr>
      </w:pPr>
      <w:r w:rsidRPr="005F3228">
        <w:rPr>
          <w:rFonts w:ascii="David" w:hAnsi="David" w:cs="David"/>
          <w:b/>
          <w:bCs/>
          <w:sz w:val="24"/>
          <w:szCs w:val="24"/>
          <w:rtl/>
        </w:rPr>
        <w:t xml:space="preserve">חסר בדיני הקניין הרוחני </w:t>
      </w:r>
    </w:p>
    <w:p w14:paraId="19FCBC85" w14:textId="77777777" w:rsidR="00DD452B" w:rsidRPr="005F3228" w:rsidRDefault="00DD452B" w:rsidP="00564AB3">
      <w:pPr>
        <w:spacing w:line="300" w:lineRule="exact"/>
        <w:jc w:val="both"/>
        <w:rPr>
          <w:rFonts w:ascii="David" w:hAnsi="David" w:cs="David"/>
          <w:sz w:val="24"/>
          <w:szCs w:val="24"/>
          <w:rtl/>
        </w:rPr>
      </w:pPr>
      <w:r w:rsidRPr="005F3228">
        <w:rPr>
          <w:rFonts w:ascii="David" w:hAnsi="David" w:cs="David"/>
          <w:sz w:val="24"/>
          <w:szCs w:val="24"/>
          <w:rtl/>
        </w:rPr>
        <w:t xml:space="preserve">הקטגוריה הראשונה של המקרים "דמויי </w:t>
      </w:r>
      <w:proofErr w:type="spellStart"/>
      <w:r w:rsidRPr="005F3228">
        <w:rPr>
          <w:rFonts w:ascii="David" w:hAnsi="David" w:cs="David"/>
          <w:sz w:val="24"/>
          <w:szCs w:val="24"/>
          <w:rtl/>
        </w:rPr>
        <w:t>א.ש.י.ר</w:t>
      </w:r>
      <w:proofErr w:type="spellEnd"/>
      <w:r w:rsidRPr="005F3228">
        <w:rPr>
          <w:rFonts w:ascii="David" w:hAnsi="David" w:cs="David"/>
          <w:sz w:val="24"/>
          <w:szCs w:val="24"/>
          <w:rtl/>
        </w:rPr>
        <w:t xml:space="preserve">." עוסקת במקרים בהם נשוא </w:t>
      </w:r>
      <w:r w:rsidR="00B5634B" w:rsidRPr="005F3228">
        <w:rPr>
          <w:rFonts w:ascii="David" w:hAnsi="David" w:cs="David" w:hint="cs"/>
          <w:sz w:val="24"/>
          <w:szCs w:val="24"/>
          <w:rtl/>
        </w:rPr>
        <w:t>הדיון</w:t>
      </w:r>
      <w:r w:rsidRPr="005F3228">
        <w:rPr>
          <w:rFonts w:ascii="David" w:hAnsi="David" w:cs="David"/>
          <w:sz w:val="24"/>
          <w:szCs w:val="24"/>
          <w:rtl/>
        </w:rPr>
        <w:t xml:space="preserve"> לא הוסדר כלל בחקיקת הקניין הרוחני בישראל. במלים אחרות, מדובר במצבים בהם נשוא הדיון הוא תוצר רוחני, שאין בדין הישראלי הגנה סטטוטורית עליו. במקרים המדוברים, הפסיקה בחרה להשלים את החסר ולהכיר בזכות חדשה ועצמאית, תוך שימוש במסגרת הנורמטיבית של דיני עשיית עושר לשם הגנה על הזכות ומתן סעד בגין הפרתה. עד כה, הוכרו שתי זכויות כאלה על-ידי הפסיקה. </w:t>
      </w:r>
    </w:p>
    <w:p w14:paraId="0FD8F12B" w14:textId="77777777" w:rsidR="00D043EF" w:rsidRPr="005F3228" w:rsidRDefault="00D043EF" w:rsidP="00B5634B">
      <w:pPr>
        <w:pStyle w:val="ListParagraph"/>
        <w:numPr>
          <w:ilvl w:val="0"/>
          <w:numId w:val="12"/>
        </w:numPr>
        <w:spacing w:line="300" w:lineRule="exact"/>
        <w:ind w:left="26" w:hanging="90"/>
        <w:jc w:val="both"/>
        <w:rPr>
          <w:rFonts w:ascii="David" w:hAnsi="David" w:cs="David"/>
          <w:b/>
          <w:bCs/>
          <w:sz w:val="24"/>
          <w:szCs w:val="24"/>
        </w:rPr>
      </w:pPr>
      <w:r w:rsidRPr="005F3228">
        <w:rPr>
          <w:rFonts w:ascii="David" w:hAnsi="David" w:cs="David" w:hint="eastAsia"/>
          <w:b/>
          <w:bCs/>
          <w:sz w:val="24"/>
          <w:szCs w:val="24"/>
          <w:rtl/>
        </w:rPr>
        <w:t>הזכות</w:t>
      </w:r>
      <w:r w:rsidRPr="005F3228">
        <w:rPr>
          <w:rFonts w:ascii="David" w:hAnsi="David" w:cs="David"/>
          <w:b/>
          <w:bCs/>
          <w:sz w:val="24"/>
          <w:szCs w:val="24"/>
          <w:rtl/>
        </w:rPr>
        <w:t xml:space="preserve"> </w:t>
      </w:r>
      <w:r w:rsidRPr="005F3228">
        <w:rPr>
          <w:rFonts w:ascii="David" w:hAnsi="David" w:cs="David" w:hint="eastAsia"/>
          <w:b/>
          <w:bCs/>
          <w:sz w:val="24"/>
          <w:szCs w:val="24"/>
          <w:rtl/>
        </w:rPr>
        <w:t>לפרסום</w:t>
      </w:r>
    </w:p>
    <w:p w14:paraId="10A8B09A" w14:textId="77777777" w:rsidR="00AC75C6" w:rsidRPr="005F3228" w:rsidRDefault="00D043EF" w:rsidP="00564AB3">
      <w:pPr>
        <w:spacing w:line="300" w:lineRule="exact"/>
        <w:jc w:val="both"/>
        <w:rPr>
          <w:rFonts w:ascii="David" w:hAnsi="David" w:cs="David"/>
          <w:sz w:val="24"/>
          <w:szCs w:val="24"/>
        </w:rPr>
      </w:pPr>
      <w:r w:rsidRPr="005F3228">
        <w:rPr>
          <w:rFonts w:ascii="David" w:hAnsi="David" w:cs="David" w:hint="cs"/>
          <w:sz w:val="24"/>
          <w:szCs w:val="24"/>
          <w:rtl/>
        </w:rPr>
        <w:t>המונח "ה</w:t>
      </w:r>
      <w:r w:rsidR="00DD452B" w:rsidRPr="005F3228">
        <w:rPr>
          <w:rFonts w:ascii="David" w:hAnsi="David" w:cs="David"/>
          <w:sz w:val="24"/>
          <w:szCs w:val="24"/>
          <w:rtl/>
        </w:rPr>
        <w:t xml:space="preserve">זכות </w:t>
      </w:r>
      <w:r w:rsidRPr="005F3228">
        <w:rPr>
          <w:rFonts w:ascii="David" w:hAnsi="David" w:cs="David" w:hint="cs"/>
          <w:sz w:val="24"/>
          <w:szCs w:val="24"/>
          <w:rtl/>
        </w:rPr>
        <w:t>ל</w:t>
      </w:r>
      <w:r w:rsidRPr="005F3228">
        <w:rPr>
          <w:rFonts w:ascii="David" w:hAnsi="David" w:cs="David"/>
          <w:sz w:val="24"/>
          <w:szCs w:val="24"/>
          <w:rtl/>
        </w:rPr>
        <w:t>פרסום</w:t>
      </w:r>
      <w:r w:rsidRPr="005F3228">
        <w:rPr>
          <w:rFonts w:ascii="David" w:hAnsi="David" w:cs="David" w:hint="cs"/>
          <w:sz w:val="24"/>
          <w:szCs w:val="24"/>
          <w:rtl/>
        </w:rPr>
        <w:t>"</w:t>
      </w:r>
      <w:r w:rsidR="00DD452B" w:rsidRPr="005F3228">
        <w:rPr>
          <w:rFonts w:ascii="David" w:hAnsi="David" w:cs="David"/>
          <w:sz w:val="24"/>
          <w:szCs w:val="24"/>
          <w:rtl/>
        </w:rPr>
        <w:t xml:space="preserve"> (</w:t>
      </w:r>
      <w:r w:rsidR="00DD452B" w:rsidRPr="005F3228">
        <w:rPr>
          <w:rFonts w:ascii="David" w:hAnsi="David" w:cs="David"/>
          <w:sz w:val="24"/>
          <w:szCs w:val="24"/>
        </w:rPr>
        <w:t>The Right of Publicity</w:t>
      </w:r>
      <w:r w:rsidR="00DD452B" w:rsidRPr="005F3228">
        <w:rPr>
          <w:rFonts w:ascii="David" w:hAnsi="David" w:cs="David"/>
          <w:sz w:val="24"/>
          <w:szCs w:val="24"/>
          <w:rtl/>
        </w:rPr>
        <w:t>),</w:t>
      </w:r>
      <w:r w:rsidRPr="005F3228">
        <w:rPr>
          <w:rFonts w:ascii="David" w:hAnsi="David" w:cs="David" w:hint="cs"/>
          <w:sz w:val="24"/>
          <w:szCs w:val="24"/>
          <w:rtl/>
        </w:rPr>
        <w:t>מתייחס ל</w:t>
      </w:r>
      <w:r w:rsidR="00DD452B" w:rsidRPr="005F3228">
        <w:rPr>
          <w:rFonts w:ascii="David" w:hAnsi="David" w:cs="David"/>
          <w:sz w:val="24"/>
          <w:szCs w:val="24"/>
          <w:rtl/>
        </w:rPr>
        <w:t xml:space="preserve">זכותו של אדם לשלוט על השימוש </w:t>
      </w:r>
      <w:r w:rsidRPr="005F3228">
        <w:rPr>
          <w:rFonts w:ascii="David" w:hAnsi="David" w:cs="David" w:hint="cs"/>
          <w:sz w:val="24"/>
          <w:szCs w:val="24"/>
          <w:rtl/>
        </w:rPr>
        <w:t>ה</w:t>
      </w:r>
      <w:r w:rsidR="00DD452B" w:rsidRPr="005F3228">
        <w:rPr>
          <w:rFonts w:ascii="David" w:hAnsi="David" w:cs="David"/>
          <w:sz w:val="24"/>
          <w:szCs w:val="24"/>
          <w:rtl/>
        </w:rPr>
        <w:t>מסחרי בשמו ובדמותו. בניגוד למצב במדינות רבות בארצות הברית ובכמה ממדינות אירופה, בישראל לא קיים חוק ייעודי שמסדיר את ההגנה על זכות זו.</w:t>
      </w:r>
      <w:bookmarkStart w:id="44" w:name="_Ref28248544"/>
      <w:r w:rsidR="00DD452B" w:rsidRPr="005F3228">
        <w:rPr>
          <w:rStyle w:val="FootnoteReference"/>
          <w:rFonts w:ascii="David" w:hAnsi="David" w:cs="David"/>
          <w:sz w:val="24"/>
          <w:szCs w:val="24"/>
          <w:rtl/>
        </w:rPr>
        <w:footnoteReference w:id="68"/>
      </w:r>
      <w:bookmarkEnd w:id="44"/>
      <w:r w:rsidR="00DD452B" w:rsidRPr="005F3228">
        <w:rPr>
          <w:rFonts w:ascii="David" w:hAnsi="David" w:cs="David"/>
          <w:sz w:val="24"/>
          <w:szCs w:val="24"/>
          <w:rtl/>
        </w:rPr>
        <w:t xml:space="preserve"> בית המשפט העליון בישראל הכיר לראשונה בזכות </w:t>
      </w:r>
      <w:r w:rsidR="00564AB3" w:rsidRPr="005F3228">
        <w:rPr>
          <w:rFonts w:ascii="David" w:hAnsi="David" w:cs="David" w:hint="cs"/>
          <w:sz w:val="24"/>
          <w:szCs w:val="24"/>
          <w:rtl/>
        </w:rPr>
        <w:t>לפרסום</w:t>
      </w:r>
      <w:r w:rsidR="00DD452B" w:rsidRPr="005F3228">
        <w:rPr>
          <w:rFonts w:ascii="David" w:hAnsi="David" w:cs="David"/>
          <w:sz w:val="24"/>
          <w:szCs w:val="24"/>
          <w:rtl/>
        </w:rPr>
        <w:t xml:space="preserve">, תוך עיגונה בדיני עשיית עושר ולא במשפט, בפרשת </w:t>
      </w:r>
      <w:proofErr w:type="spellStart"/>
      <w:r w:rsidR="00DD452B" w:rsidRPr="005F3228">
        <w:rPr>
          <w:rFonts w:ascii="David" w:hAnsi="David" w:cs="David"/>
          <w:b/>
          <w:bCs/>
          <w:sz w:val="24"/>
          <w:szCs w:val="24"/>
          <w:rtl/>
        </w:rPr>
        <w:t>אלוניאל</w:t>
      </w:r>
      <w:proofErr w:type="spellEnd"/>
      <w:r w:rsidR="00DD452B" w:rsidRPr="005F3228">
        <w:rPr>
          <w:rFonts w:ascii="David" w:hAnsi="David" w:cs="David"/>
          <w:b/>
          <w:bCs/>
          <w:sz w:val="24"/>
          <w:szCs w:val="24"/>
          <w:rtl/>
        </w:rPr>
        <w:t xml:space="preserve"> נ' מקדו</w:t>
      </w:r>
      <w:r w:rsidR="00B55739" w:rsidRPr="005F3228">
        <w:rPr>
          <w:rFonts w:ascii="David" w:hAnsi="David" w:cs="David" w:hint="cs"/>
          <w:b/>
          <w:bCs/>
          <w:sz w:val="24"/>
          <w:szCs w:val="24"/>
          <w:rtl/>
        </w:rPr>
        <w:t>נ</w:t>
      </w:r>
      <w:r w:rsidR="00DD452B" w:rsidRPr="005F3228">
        <w:rPr>
          <w:rFonts w:ascii="David" w:hAnsi="David" w:cs="David"/>
          <w:b/>
          <w:bCs/>
          <w:sz w:val="24"/>
          <w:szCs w:val="24"/>
          <w:rtl/>
        </w:rPr>
        <w:t>לד</w:t>
      </w:r>
      <w:r w:rsidR="00DD452B" w:rsidRPr="005F3228">
        <w:rPr>
          <w:rFonts w:ascii="David" w:hAnsi="David" w:cs="David"/>
          <w:sz w:val="24"/>
          <w:szCs w:val="24"/>
          <w:rtl/>
        </w:rPr>
        <w:t>.</w:t>
      </w:r>
      <w:r w:rsidR="00DD452B" w:rsidRPr="005F3228">
        <w:rPr>
          <w:rStyle w:val="FootnoteReference"/>
          <w:rFonts w:ascii="David" w:hAnsi="David" w:cs="David"/>
          <w:sz w:val="24"/>
          <w:szCs w:val="24"/>
          <w:rtl/>
        </w:rPr>
        <w:footnoteReference w:id="69"/>
      </w:r>
      <w:r w:rsidR="00DD452B" w:rsidRPr="005F3228">
        <w:rPr>
          <w:rFonts w:ascii="David" w:hAnsi="David" w:cs="David"/>
          <w:sz w:val="24"/>
          <w:szCs w:val="24"/>
          <w:rtl/>
        </w:rPr>
        <w:t xml:space="preserve"> באותו מקרה עמדה על הפרק</w:t>
      </w:r>
      <w:r w:rsidRPr="005F3228">
        <w:rPr>
          <w:rFonts w:ascii="David" w:hAnsi="David" w:cs="David" w:hint="cs"/>
          <w:sz w:val="24"/>
          <w:szCs w:val="24"/>
          <w:rtl/>
        </w:rPr>
        <w:t xml:space="preserve"> בין היתר,</w:t>
      </w:r>
      <w:r w:rsidR="00DD452B" w:rsidRPr="005F3228">
        <w:rPr>
          <w:rFonts w:ascii="David" w:hAnsi="David" w:cs="David"/>
          <w:sz w:val="24"/>
          <w:szCs w:val="24"/>
          <w:rtl/>
        </w:rPr>
        <w:t xml:space="preserve"> טענתו של אריאל מקדונלד כי חברת </w:t>
      </w:r>
      <w:proofErr w:type="spellStart"/>
      <w:r w:rsidR="00DD452B" w:rsidRPr="005F3228">
        <w:rPr>
          <w:rFonts w:ascii="David" w:hAnsi="David" w:cs="David"/>
          <w:sz w:val="24"/>
          <w:szCs w:val="24"/>
          <w:rtl/>
        </w:rPr>
        <w:t>מקדולנד'ס</w:t>
      </w:r>
      <w:proofErr w:type="spellEnd"/>
      <w:r w:rsidR="00DD452B" w:rsidRPr="005F3228">
        <w:rPr>
          <w:rFonts w:ascii="David" w:hAnsi="David" w:cs="David"/>
          <w:sz w:val="24"/>
          <w:szCs w:val="24"/>
          <w:rtl/>
        </w:rPr>
        <w:t xml:space="preserve"> עשתה שימוש </w:t>
      </w:r>
      <w:r w:rsidR="00BE63AD" w:rsidRPr="005F3228">
        <w:rPr>
          <w:rFonts w:ascii="David" w:hAnsi="David" w:cs="David" w:hint="cs"/>
          <w:sz w:val="24"/>
          <w:szCs w:val="24"/>
          <w:rtl/>
        </w:rPr>
        <w:t xml:space="preserve">לא מורשה </w:t>
      </w:r>
      <w:r w:rsidR="00DD452B" w:rsidRPr="005F3228">
        <w:rPr>
          <w:rFonts w:ascii="David" w:hAnsi="David" w:cs="David"/>
          <w:sz w:val="24"/>
          <w:szCs w:val="24"/>
          <w:rtl/>
        </w:rPr>
        <w:t xml:space="preserve">בשמו </w:t>
      </w:r>
      <w:r w:rsidR="00BE63AD" w:rsidRPr="005F3228">
        <w:rPr>
          <w:rFonts w:ascii="David" w:hAnsi="David" w:cs="David" w:hint="cs"/>
          <w:sz w:val="24"/>
          <w:szCs w:val="24"/>
          <w:rtl/>
        </w:rPr>
        <w:t xml:space="preserve">ובדמותו </w:t>
      </w:r>
      <w:r w:rsidR="00DD452B" w:rsidRPr="005F3228">
        <w:rPr>
          <w:rFonts w:ascii="David" w:hAnsi="David" w:cs="David"/>
          <w:sz w:val="24"/>
          <w:szCs w:val="24"/>
          <w:rtl/>
        </w:rPr>
        <w:t xml:space="preserve">במסגרת פרסומת למוצריה. </w:t>
      </w:r>
    </w:p>
    <w:p w14:paraId="328BBD57" w14:textId="77777777" w:rsidR="00F215A5" w:rsidRPr="005F3228" w:rsidRDefault="00DD452B" w:rsidP="000B6405">
      <w:pPr>
        <w:spacing w:line="300" w:lineRule="exact"/>
        <w:jc w:val="both"/>
        <w:rPr>
          <w:rFonts w:ascii="David" w:hAnsi="David" w:cs="David"/>
          <w:sz w:val="24"/>
          <w:szCs w:val="24"/>
          <w:rtl/>
        </w:rPr>
      </w:pPr>
      <w:r w:rsidRPr="005F3228">
        <w:rPr>
          <w:rFonts w:ascii="David" w:hAnsi="David" w:cs="David"/>
          <w:sz w:val="24"/>
          <w:szCs w:val="24"/>
          <w:rtl/>
        </w:rPr>
        <w:t xml:space="preserve">בית המשפט המחוזי שדן בתביעה קבע כי השימוש המסחרי בשמו של </w:t>
      </w:r>
      <w:r w:rsidR="00AC75C6" w:rsidRPr="005F3228">
        <w:rPr>
          <w:rFonts w:ascii="David" w:hAnsi="David" w:cs="David" w:hint="cs"/>
          <w:sz w:val="24"/>
          <w:szCs w:val="24"/>
          <w:rtl/>
        </w:rPr>
        <w:t xml:space="preserve">מקדונלד היווה עשיית עושר ולא במשפט, וכן </w:t>
      </w:r>
      <w:r w:rsidRPr="005F3228">
        <w:rPr>
          <w:rFonts w:ascii="David" w:hAnsi="David" w:cs="David"/>
          <w:sz w:val="24"/>
          <w:szCs w:val="24"/>
          <w:rtl/>
        </w:rPr>
        <w:t>פגיעה בפרטיות, לפי סעיף 2(6) לחוק הגנת הפרטיות.</w:t>
      </w:r>
      <w:r w:rsidRPr="005F3228">
        <w:rPr>
          <w:rStyle w:val="FootnoteReference"/>
          <w:rFonts w:ascii="David" w:hAnsi="David" w:cs="David"/>
          <w:sz w:val="24"/>
          <w:szCs w:val="24"/>
          <w:rtl/>
        </w:rPr>
        <w:footnoteReference w:id="70"/>
      </w:r>
      <w:r w:rsidRPr="005F3228">
        <w:rPr>
          <w:rFonts w:ascii="David" w:hAnsi="David" w:cs="David"/>
          <w:sz w:val="24"/>
          <w:szCs w:val="24"/>
          <w:rtl/>
        </w:rPr>
        <w:t xml:space="preserve"> </w:t>
      </w:r>
      <w:r w:rsidR="00F215A5" w:rsidRPr="005F3228">
        <w:rPr>
          <w:rFonts w:ascii="David" w:hAnsi="David" w:cs="David"/>
          <w:sz w:val="24"/>
          <w:szCs w:val="24"/>
          <w:rtl/>
        </w:rPr>
        <w:t xml:space="preserve">במסגרת ערעור שהוגש על </w:t>
      </w:r>
      <w:r w:rsidR="00F215A5" w:rsidRPr="005F3228">
        <w:rPr>
          <w:rFonts w:ascii="David" w:hAnsi="David" w:cs="David"/>
          <w:sz w:val="24"/>
          <w:szCs w:val="24"/>
          <w:rtl/>
        </w:rPr>
        <w:lastRenderedPageBreak/>
        <w:t xml:space="preserve">פסק הדין, עמד בית המשפט העליון על כך שהאינטרסים שזכות הפרטיות וזכות הפרסום נועדו להגן עליהם הינם שונים. בעוד שההגנה על זכות הפרטיות נועדה לפצות אדם על </w:t>
      </w:r>
      <w:proofErr w:type="spellStart"/>
      <w:r w:rsidR="00F22356" w:rsidRPr="005F3228">
        <w:rPr>
          <w:rFonts w:ascii="David" w:hAnsi="David" w:cs="David" w:hint="cs"/>
          <w:sz w:val="24"/>
          <w:szCs w:val="24"/>
          <w:rtl/>
        </w:rPr>
        <w:t>עגמת</w:t>
      </w:r>
      <w:proofErr w:type="spellEnd"/>
      <w:r w:rsidR="00F22356" w:rsidRPr="005F3228">
        <w:rPr>
          <w:rFonts w:ascii="David" w:hAnsi="David" w:cs="David" w:hint="cs"/>
          <w:sz w:val="24"/>
          <w:szCs w:val="24"/>
          <w:rtl/>
        </w:rPr>
        <w:t xml:space="preserve"> הנפש </w:t>
      </w:r>
      <w:r w:rsidR="00F215A5" w:rsidRPr="005F3228">
        <w:rPr>
          <w:rFonts w:ascii="David" w:hAnsi="David" w:cs="David"/>
          <w:sz w:val="24"/>
          <w:szCs w:val="24"/>
          <w:rtl/>
        </w:rPr>
        <w:t>שהוסב</w:t>
      </w:r>
      <w:r w:rsidR="00F22356" w:rsidRPr="005F3228">
        <w:rPr>
          <w:rFonts w:ascii="David" w:hAnsi="David" w:cs="David" w:hint="cs"/>
          <w:sz w:val="24"/>
          <w:szCs w:val="24"/>
          <w:rtl/>
        </w:rPr>
        <w:t>ה</w:t>
      </w:r>
      <w:r w:rsidR="00F215A5" w:rsidRPr="005F3228">
        <w:rPr>
          <w:rFonts w:ascii="David" w:hAnsi="David" w:cs="David"/>
          <w:sz w:val="24"/>
          <w:szCs w:val="24"/>
          <w:rtl/>
        </w:rPr>
        <w:t xml:space="preserve"> לו כתוצאה מהחדירה לצנעת הפרט, זכות הפרסום </w:t>
      </w:r>
      <w:r w:rsidR="000B6405" w:rsidRPr="005F3228">
        <w:rPr>
          <w:rFonts w:ascii="David" w:hAnsi="David" w:cs="David" w:hint="cs"/>
          <w:sz w:val="24"/>
          <w:szCs w:val="24"/>
          <w:rtl/>
        </w:rPr>
        <w:t>עניינה ב</w:t>
      </w:r>
      <w:r w:rsidR="006B28E6" w:rsidRPr="005F3228">
        <w:rPr>
          <w:rFonts w:ascii="David" w:hAnsi="David" w:cs="David" w:hint="cs"/>
          <w:sz w:val="24"/>
          <w:szCs w:val="24"/>
          <w:rtl/>
        </w:rPr>
        <w:t>נזק הכלכלי שנגרם</w:t>
      </w:r>
      <w:r w:rsidR="00F215A5" w:rsidRPr="005F3228">
        <w:rPr>
          <w:rFonts w:ascii="David" w:hAnsi="David" w:cs="David"/>
          <w:sz w:val="24"/>
          <w:szCs w:val="24"/>
          <w:rtl/>
        </w:rPr>
        <w:t xml:space="preserve"> לאדם שנעשה שימוש מסחרי בדמותו ללא הסכמתו.</w:t>
      </w:r>
      <w:r w:rsidR="00F215A5" w:rsidRPr="005F3228">
        <w:rPr>
          <w:rStyle w:val="FootnoteReference"/>
          <w:rFonts w:ascii="David" w:hAnsi="David" w:cs="David"/>
          <w:sz w:val="24"/>
          <w:szCs w:val="24"/>
          <w:rtl/>
        </w:rPr>
        <w:footnoteReference w:id="71"/>
      </w:r>
      <w:r w:rsidR="00F215A5" w:rsidRPr="005F3228">
        <w:rPr>
          <w:rFonts w:ascii="David" w:hAnsi="David" w:cs="David"/>
          <w:sz w:val="24"/>
          <w:szCs w:val="24"/>
          <w:rtl/>
        </w:rPr>
        <w:t xml:space="preserve"> </w:t>
      </w:r>
      <w:r w:rsidR="008970BB" w:rsidRPr="005F3228">
        <w:rPr>
          <w:rFonts w:ascii="David" w:hAnsi="David" w:cs="David" w:hint="cs"/>
          <w:sz w:val="24"/>
          <w:szCs w:val="24"/>
          <w:rtl/>
        </w:rPr>
        <w:t xml:space="preserve">בית המשפט העליון </w:t>
      </w:r>
      <w:r w:rsidR="00F40CBA" w:rsidRPr="005F3228">
        <w:rPr>
          <w:rFonts w:ascii="David" w:hAnsi="David" w:cs="David" w:hint="cs"/>
          <w:sz w:val="24"/>
          <w:szCs w:val="24"/>
          <w:rtl/>
        </w:rPr>
        <w:t>דן</w:t>
      </w:r>
      <w:r w:rsidR="00F215A5" w:rsidRPr="005F3228">
        <w:rPr>
          <w:rFonts w:ascii="David" w:hAnsi="David" w:cs="David"/>
          <w:sz w:val="24"/>
          <w:szCs w:val="24"/>
          <w:rtl/>
        </w:rPr>
        <w:t xml:space="preserve"> </w:t>
      </w:r>
      <w:r w:rsidR="00F40CBA" w:rsidRPr="005F3228">
        <w:rPr>
          <w:rFonts w:ascii="David" w:hAnsi="David" w:cs="David" w:hint="cs"/>
          <w:sz w:val="24"/>
          <w:szCs w:val="24"/>
          <w:rtl/>
        </w:rPr>
        <w:t>ב</w:t>
      </w:r>
      <w:r w:rsidR="00F215A5" w:rsidRPr="005F3228">
        <w:rPr>
          <w:rFonts w:ascii="David" w:hAnsi="David" w:cs="David"/>
          <w:sz w:val="24"/>
          <w:szCs w:val="24"/>
          <w:rtl/>
        </w:rPr>
        <w:t xml:space="preserve">משמעות הכלכלית </w:t>
      </w:r>
      <w:r w:rsidR="00D043EF" w:rsidRPr="005F3228">
        <w:rPr>
          <w:rFonts w:ascii="David" w:hAnsi="David" w:cs="David" w:hint="cs"/>
          <w:sz w:val="24"/>
          <w:szCs w:val="24"/>
          <w:rtl/>
        </w:rPr>
        <w:t>שיש ל</w:t>
      </w:r>
      <w:r w:rsidR="00F40CBA" w:rsidRPr="005F3228">
        <w:rPr>
          <w:rFonts w:ascii="David" w:hAnsi="David" w:cs="David" w:hint="cs"/>
          <w:sz w:val="24"/>
          <w:szCs w:val="24"/>
          <w:rtl/>
        </w:rPr>
        <w:t>זכות לפרסום בעידן המודרני,</w:t>
      </w:r>
      <w:bookmarkStart w:id="45" w:name="_Ref28418083"/>
      <w:r w:rsidR="00F40CBA" w:rsidRPr="005F3228">
        <w:rPr>
          <w:rStyle w:val="FootnoteReference"/>
          <w:rFonts w:ascii="David" w:hAnsi="David" w:cs="David"/>
          <w:sz w:val="24"/>
          <w:szCs w:val="24"/>
          <w:rtl/>
        </w:rPr>
        <w:footnoteReference w:id="72"/>
      </w:r>
      <w:bookmarkEnd w:id="45"/>
      <w:r w:rsidR="00F40CBA" w:rsidRPr="005F3228">
        <w:rPr>
          <w:rFonts w:ascii="David" w:hAnsi="David" w:cs="David" w:hint="cs"/>
          <w:sz w:val="24"/>
          <w:szCs w:val="24"/>
          <w:rtl/>
        </w:rPr>
        <w:t xml:space="preserve"> ובחן לעומק את ההצדקות להכרה בזכות זו, ובפרט הרצון לתגמל אנשים על ההשקעה בפיתוח אישיותם (</w:t>
      </w:r>
      <w:r w:rsidR="00795AE9" w:rsidRPr="005F3228">
        <w:rPr>
          <w:rFonts w:ascii="David" w:hAnsi="David" w:cs="David" w:hint="cs"/>
          <w:sz w:val="24"/>
          <w:szCs w:val="24"/>
          <w:rtl/>
        </w:rPr>
        <w:t xml:space="preserve">הצדקה המכונה </w:t>
      </w:r>
      <w:r w:rsidR="00F40CBA" w:rsidRPr="005F3228">
        <w:rPr>
          <w:rFonts w:ascii="David" w:hAnsi="David" w:cs="David" w:hint="cs"/>
          <w:sz w:val="24"/>
          <w:szCs w:val="24"/>
          <w:rtl/>
        </w:rPr>
        <w:t xml:space="preserve">"הצדקה </w:t>
      </w:r>
      <w:proofErr w:type="spellStart"/>
      <w:r w:rsidR="00F40CBA" w:rsidRPr="005F3228">
        <w:rPr>
          <w:rFonts w:ascii="David" w:hAnsi="David" w:cs="David" w:hint="cs"/>
          <w:sz w:val="24"/>
          <w:szCs w:val="24"/>
          <w:rtl/>
        </w:rPr>
        <w:t>לוקיאנית</w:t>
      </w:r>
      <w:proofErr w:type="spellEnd"/>
      <w:r w:rsidR="00F40CBA" w:rsidRPr="005F3228">
        <w:rPr>
          <w:rFonts w:ascii="David" w:hAnsi="David" w:cs="David" w:hint="cs"/>
          <w:sz w:val="24"/>
          <w:szCs w:val="24"/>
          <w:rtl/>
        </w:rPr>
        <w:t>"), והצורך במתן תמריץ לעשות כן.</w:t>
      </w:r>
      <w:r w:rsidR="00F40CBA" w:rsidRPr="005F3228">
        <w:rPr>
          <w:rStyle w:val="FootnoteReference"/>
          <w:rFonts w:ascii="David" w:hAnsi="David" w:cs="David"/>
          <w:sz w:val="24"/>
          <w:szCs w:val="24"/>
          <w:rtl/>
        </w:rPr>
        <w:footnoteReference w:id="73"/>
      </w:r>
      <w:r w:rsidR="00F40CBA" w:rsidRPr="005F3228">
        <w:rPr>
          <w:rFonts w:ascii="David" w:hAnsi="David" w:cs="David" w:hint="cs"/>
          <w:sz w:val="24"/>
          <w:szCs w:val="24"/>
          <w:rtl/>
        </w:rPr>
        <w:t xml:space="preserve"> חשוב לציין, כי הצדקות אלה מקבילות, במידה רבה, להצדקות המסורתיות להכרה בזכויות היוצרים, ובקניין רוחני בכלל.</w:t>
      </w:r>
      <w:r w:rsidR="00BE63AD" w:rsidRPr="005F3228">
        <w:rPr>
          <w:rFonts w:ascii="David" w:hAnsi="David" w:cs="David" w:hint="cs"/>
          <w:sz w:val="24"/>
          <w:szCs w:val="24"/>
          <w:rtl/>
        </w:rPr>
        <w:t xml:space="preserve"> </w:t>
      </w:r>
      <w:r w:rsidR="00F40CBA" w:rsidRPr="005F3228">
        <w:rPr>
          <w:rFonts w:ascii="David" w:hAnsi="David" w:cs="David" w:hint="cs"/>
          <w:sz w:val="24"/>
          <w:szCs w:val="24"/>
          <w:rtl/>
        </w:rPr>
        <w:t>לאור בחינה זו</w:t>
      </w:r>
      <w:r w:rsidR="00F40CBA" w:rsidRPr="005F3228">
        <w:rPr>
          <w:rFonts w:ascii="David" w:hAnsi="David" w:cs="David" w:hint="cs"/>
          <w:rtl/>
        </w:rPr>
        <w:t xml:space="preserve"> </w:t>
      </w:r>
      <w:r w:rsidR="00BE63AD" w:rsidRPr="005F3228">
        <w:rPr>
          <w:rFonts w:ascii="David" w:hAnsi="David" w:cs="David" w:hint="cs"/>
          <w:sz w:val="24"/>
          <w:szCs w:val="24"/>
          <w:rtl/>
        </w:rPr>
        <w:t>הגיע בית המשפט למסקנה כי קיים במשפט הישראלי חסר בטיפול בזכות לפרסום, וקבע</w:t>
      </w:r>
      <w:r w:rsidR="00F40CBA" w:rsidRPr="005F3228">
        <w:rPr>
          <w:rFonts w:ascii="David" w:hAnsi="David" w:cs="David" w:hint="cs"/>
          <w:sz w:val="24"/>
          <w:szCs w:val="24"/>
          <w:rtl/>
        </w:rPr>
        <w:t xml:space="preserve"> </w:t>
      </w:r>
      <w:r w:rsidR="00F215A5" w:rsidRPr="005F3228">
        <w:rPr>
          <w:rFonts w:ascii="David" w:hAnsi="David" w:cs="David"/>
          <w:sz w:val="24"/>
          <w:szCs w:val="24"/>
          <w:rtl/>
        </w:rPr>
        <w:t>כי בהיעדר הסדרה ישירה של זכות זו במשפטנו, יש להגן עליה במסגרת דיני עשיית עושר.</w:t>
      </w:r>
      <w:r w:rsidR="00F40CBA" w:rsidRPr="005F3228">
        <w:rPr>
          <w:rStyle w:val="FootnoteReference"/>
          <w:rFonts w:ascii="David" w:hAnsi="David" w:cs="David"/>
          <w:sz w:val="24"/>
          <w:szCs w:val="24"/>
          <w:rtl/>
        </w:rPr>
        <w:footnoteReference w:id="74"/>
      </w:r>
      <w:r w:rsidR="00F215A5" w:rsidRPr="005F3228">
        <w:rPr>
          <w:rFonts w:ascii="David" w:hAnsi="David" w:cs="David"/>
          <w:sz w:val="24"/>
          <w:szCs w:val="24"/>
          <w:rtl/>
        </w:rPr>
        <w:t xml:space="preserve"> </w:t>
      </w:r>
      <w:r w:rsidR="00795AE9" w:rsidRPr="005F3228">
        <w:rPr>
          <w:rFonts w:ascii="David" w:hAnsi="David" w:cs="David" w:hint="cs"/>
          <w:sz w:val="24"/>
          <w:szCs w:val="24"/>
          <w:rtl/>
        </w:rPr>
        <w:t xml:space="preserve">בהקשר זה נתן </w:t>
      </w:r>
      <w:r w:rsidR="00F215A5" w:rsidRPr="005F3228">
        <w:rPr>
          <w:rFonts w:ascii="David" w:hAnsi="David" w:cs="David"/>
          <w:sz w:val="24"/>
          <w:szCs w:val="24"/>
          <w:rtl/>
        </w:rPr>
        <w:t xml:space="preserve">בית המשפט </w:t>
      </w:r>
      <w:r w:rsidR="00795AE9" w:rsidRPr="005F3228">
        <w:rPr>
          <w:rFonts w:ascii="David" w:hAnsi="David" w:cs="David" w:hint="cs"/>
          <w:sz w:val="24"/>
          <w:szCs w:val="24"/>
          <w:rtl/>
        </w:rPr>
        <w:t xml:space="preserve">דעתו גם להלכת </w:t>
      </w:r>
      <w:proofErr w:type="spellStart"/>
      <w:r w:rsidR="00795AE9" w:rsidRPr="005F3228">
        <w:rPr>
          <w:rFonts w:ascii="David" w:hAnsi="David" w:cs="David" w:hint="cs"/>
          <w:sz w:val="24"/>
          <w:szCs w:val="24"/>
          <w:rtl/>
        </w:rPr>
        <w:t>א.ש.י.ר</w:t>
      </w:r>
      <w:proofErr w:type="spellEnd"/>
      <w:r w:rsidR="00795AE9" w:rsidRPr="005F3228">
        <w:rPr>
          <w:rFonts w:ascii="David" w:hAnsi="David" w:cs="David" w:hint="cs"/>
          <w:sz w:val="24"/>
          <w:szCs w:val="24"/>
          <w:rtl/>
        </w:rPr>
        <w:t>., וסבר כי סוגיית העקיפה של חקיקת הקניין הרוחני אינה מתעוררת במקרה הנדון:</w:t>
      </w:r>
    </w:p>
    <w:p w14:paraId="35EB91B1" w14:textId="77777777" w:rsidR="00F215A5" w:rsidRPr="005F3228" w:rsidRDefault="00F215A5" w:rsidP="00F215A5">
      <w:pPr>
        <w:pStyle w:val="Quote"/>
        <w:spacing w:line="300" w:lineRule="exact"/>
        <w:ind w:left="1196" w:right="1170"/>
        <w:jc w:val="both"/>
        <w:rPr>
          <w:rFonts w:ascii="David" w:hAnsi="David" w:cs="David"/>
          <w:rtl/>
        </w:rPr>
      </w:pPr>
      <w:r w:rsidRPr="005F3228">
        <w:rPr>
          <w:rFonts w:ascii="David" w:hAnsi="David" w:cs="David"/>
          <w:rtl/>
        </w:rPr>
        <w:t>בהישענות זו על העילה מדיני עשיית עושר ולא במשפט אין אנו עוקפים את חקיקת הקניין הרוחני בישראל, שהרי כאמור, אין דינים אלה מתיימרים לטפל בזכות לפרסום, וממילא אינם יוצרים הסדר שלילי. משכך, נחסך מעמנו הקושי שעמו התמודד בית</w:t>
      </w:r>
      <w:r w:rsidRPr="005F3228">
        <w:rPr>
          <w:rFonts w:ascii="David" w:hAnsi="David" w:cs="David"/>
          <w:position w:val="4"/>
          <w:rtl/>
        </w:rPr>
        <w:t>-</w:t>
      </w:r>
      <w:r w:rsidRPr="005F3228">
        <w:rPr>
          <w:rFonts w:ascii="David" w:hAnsi="David" w:cs="David"/>
          <w:rtl/>
        </w:rPr>
        <w:t xml:space="preserve">משפט זה </w:t>
      </w:r>
      <w:proofErr w:type="spellStart"/>
      <w:r w:rsidRPr="005F3228">
        <w:rPr>
          <w:rFonts w:ascii="David" w:hAnsi="David" w:cs="David"/>
          <w:rtl/>
        </w:rPr>
        <w:t>ב</w:t>
      </w:r>
      <w:hyperlink r:id="rId19" w:history="1">
        <w:r w:rsidRPr="005F3228">
          <w:rPr>
            <w:rStyle w:val="Hyperlink"/>
            <w:rFonts w:ascii="David" w:hAnsi="David" w:cs="David"/>
            <w:color w:val="auto"/>
            <w:u w:val="none"/>
            <w:rtl/>
          </w:rPr>
          <w:t>רע"א</w:t>
        </w:r>
        <w:proofErr w:type="spellEnd"/>
        <w:r w:rsidRPr="005F3228">
          <w:rPr>
            <w:rStyle w:val="Hyperlink"/>
            <w:rFonts w:ascii="David" w:hAnsi="David" w:cs="David"/>
            <w:color w:val="auto"/>
            <w:u w:val="none"/>
            <w:rtl/>
          </w:rPr>
          <w:t xml:space="preserve"> 5768/94</w:t>
        </w:r>
      </w:hyperlink>
      <w:r w:rsidRPr="005F3228">
        <w:rPr>
          <w:rFonts w:ascii="David" w:hAnsi="David" w:cs="David"/>
          <w:rtl/>
        </w:rPr>
        <w:t xml:space="preserve"> </w:t>
      </w:r>
      <w:proofErr w:type="spellStart"/>
      <w:r w:rsidRPr="005F3228">
        <w:rPr>
          <w:rFonts w:ascii="David" w:hAnsi="David" w:cs="David"/>
          <w:rtl/>
        </w:rPr>
        <w:t>א.ש.י.ר</w:t>
      </w:r>
      <w:proofErr w:type="spellEnd"/>
      <w:r w:rsidRPr="005F3228">
        <w:rPr>
          <w:rFonts w:ascii="David" w:hAnsi="David" w:cs="David"/>
          <w:rtl/>
        </w:rPr>
        <w:t>. יבוא יצור והפצה נ' פורום אביזרים ומוצרי צריכה בע"מ.</w:t>
      </w:r>
      <w:r w:rsidRPr="005F3228">
        <w:rPr>
          <w:rStyle w:val="FootnoteReference"/>
          <w:rFonts w:ascii="David" w:hAnsi="David" w:cs="David"/>
          <w:i w:val="0"/>
          <w:iCs w:val="0"/>
          <w:sz w:val="24"/>
          <w:szCs w:val="24"/>
          <w:rtl/>
        </w:rPr>
        <w:footnoteReference w:id="75"/>
      </w:r>
      <w:r w:rsidRPr="005F3228">
        <w:rPr>
          <w:rFonts w:ascii="David" w:hAnsi="David" w:cs="David"/>
          <w:rtl/>
        </w:rPr>
        <w:t xml:space="preserve"> </w:t>
      </w:r>
    </w:p>
    <w:p w14:paraId="2940FA09" w14:textId="77777777" w:rsidR="00795AE9" w:rsidRPr="005F3228" w:rsidRDefault="00795AE9" w:rsidP="00F03714">
      <w:pPr>
        <w:spacing w:line="300" w:lineRule="exact"/>
        <w:jc w:val="both"/>
        <w:rPr>
          <w:rFonts w:ascii="David" w:hAnsi="David" w:cs="David"/>
          <w:sz w:val="24"/>
          <w:szCs w:val="24"/>
          <w:rtl/>
        </w:rPr>
      </w:pPr>
      <w:r w:rsidRPr="005F3228">
        <w:rPr>
          <w:rFonts w:ascii="David" w:hAnsi="David" w:cs="David" w:hint="cs"/>
          <w:sz w:val="24"/>
          <w:szCs w:val="24"/>
          <w:rtl/>
        </w:rPr>
        <w:t xml:space="preserve">קביעה </w:t>
      </w:r>
      <w:r w:rsidR="00DA1D71" w:rsidRPr="005F3228">
        <w:rPr>
          <w:rFonts w:ascii="David" w:hAnsi="David" w:cs="David" w:hint="cs"/>
          <w:sz w:val="24"/>
          <w:szCs w:val="24"/>
          <w:rtl/>
        </w:rPr>
        <w:t xml:space="preserve">אחרונה </w:t>
      </w:r>
      <w:r w:rsidRPr="005F3228">
        <w:rPr>
          <w:rFonts w:ascii="David" w:hAnsi="David" w:cs="David" w:hint="cs"/>
          <w:sz w:val="24"/>
          <w:szCs w:val="24"/>
          <w:rtl/>
        </w:rPr>
        <w:t xml:space="preserve">זו </w:t>
      </w:r>
      <w:r w:rsidR="00DA1D71" w:rsidRPr="005F3228">
        <w:rPr>
          <w:rFonts w:ascii="David" w:hAnsi="David" w:cs="David" w:hint="cs"/>
          <w:sz w:val="24"/>
          <w:szCs w:val="24"/>
          <w:rtl/>
        </w:rPr>
        <w:t>טעונה לדעתנו עיון נוסף</w:t>
      </w:r>
      <w:r w:rsidRPr="005F3228">
        <w:rPr>
          <w:rFonts w:ascii="David" w:hAnsi="David" w:cs="David" w:hint="cs"/>
          <w:sz w:val="24"/>
          <w:szCs w:val="24"/>
          <w:rtl/>
        </w:rPr>
        <w:t>. חקיקת הקניין הרוחני אמנם אינה מטפלת ישירות בזכות לפרסום, אולם עוסקת בתחומים קרובים ומשיקים. כך, דיני זכויות היוצרים מכירים באפשרות שדמות דמיונית (כ</w:t>
      </w:r>
      <w:r w:rsidR="00A57994" w:rsidRPr="005F3228">
        <w:rPr>
          <w:rFonts w:ascii="David" w:hAnsi="David" w:cs="David" w:hint="cs"/>
          <w:sz w:val="24"/>
          <w:szCs w:val="24"/>
          <w:rtl/>
        </w:rPr>
        <w:t>מו</w:t>
      </w:r>
      <w:r w:rsidRPr="005F3228">
        <w:rPr>
          <w:rFonts w:ascii="David" w:hAnsi="David" w:cs="David" w:hint="cs"/>
          <w:sz w:val="24"/>
          <w:szCs w:val="24"/>
          <w:rtl/>
        </w:rPr>
        <w:t xml:space="preserve"> גיבור ספרותי או קולנועי)  תהיה נושא לזכות יוצרים,</w:t>
      </w:r>
      <w:r w:rsidR="00DA1D71" w:rsidRPr="005F3228">
        <w:rPr>
          <w:rStyle w:val="FootnoteReference"/>
          <w:rFonts w:ascii="David" w:hAnsi="David" w:cs="David"/>
          <w:sz w:val="24"/>
          <w:szCs w:val="24"/>
          <w:rtl/>
        </w:rPr>
        <w:footnoteReference w:id="76"/>
      </w:r>
      <w:r w:rsidRPr="005F3228">
        <w:rPr>
          <w:rFonts w:ascii="David" w:hAnsi="David" w:cs="David" w:hint="cs"/>
          <w:sz w:val="24"/>
          <w:szCs w:val="24"/>
          <w:rtl/>
        </w:rPr>
        <w:t xml:space="preserve"> אך אינם מכירים באפשרות דומה ביחס לדמות אמיתית; </w:t>
      </w:r>
      <w:r w:rsidR="00DA1D71" w:rsidRPr="005F3228">
        <w:rPr>
          <w:rFonts w:ascii="David" w:hAnsi="David" w:cs="David" w:hint="cs"/>
          <w:sz w:val="24"/>
          <w:szCs w:val="24"/>
          <w:rtl/>
        </w:rPr>
        <w:t xml:space="preserve">ואילו דיני סימני המסחר </w:t>
      </w:r>
      <w:r w:rsidR="00F03714" w:rsidRPr="005F3228">
        <w:rPr>
          <w:rFonts w:ascii="David" w:hAnsi="David" w:cs="David" w:hint="cs"/>
          <w:sz w:val="24"/>
          <w:szCs w:val="24"/>
          <w:rtl/>
        </w:rPr>
        <w:t xml:space="preserve">בישראל </w:t>
      </w:r>
      <w:r w:rsidR="00DA1D71" w:rsidRPr="005F3228">
        <w:rPr>
          <w:rFonts w:ascii="David" w:hAnsi="David" w:cs="David" w:hint="cs"/>
          <w:sz w:val="24"/>
          <w:szCs w:val="24"/>
          <w:rtl/>
        </w:rPr>
        <w:t>מאפשרים רישום שמו של אדם כסימן מסחר</w:t>
      </w:r>
      <w:r w:rsidR="00F03714" w:rsidRPr="005F3228">
        <w:rPr>
          <w:rFonts w:ascii="David" w:hAnsi="David" w:cs="David" w:hint="cs"/>
          <w:sz w:val="24"/>
          <w:szCs w:val="24"/>
          <w:rtl/>
        </w:rPr>
        <w:t>, אם הוא בעל אופי מבחין</w:t>
      </w:r>
      <w:r w:rsidR="00DA1D71" w:rsidRPr="005F3228">
        <w:rPr>
          <w:rFonts w:ascii="David" w:hAnsi="David" w:cs="David" w:hint="cs"/>
          <w:sz w:val="24"/>
          <w:szCs w:val="24"/>
          <w:rtl/>
        </w:rPr>
        <w:t>.</w:t>
      </w:r>
      <w:r w:rsidR="00DA1D71" w:rsidRPr="005F3228">
        <w:rPr>
          <w:rStyle w:val="FootnoteReference"/>
          <w:rFonts w:ascii="David" w:hAnsi="David" w:cs="David"/>
          <w:sz w:val="24"/>
          <w:szCs w:val="24"/>
          <w:rtl/>
        </w:rPr>
        <w:footnoteReference w:id="77"/>
      </w:r>
      <w:r w:rsidRPr="005F3228">
        <w:rPr>
          <w:rFonts w:ascii="David" w:hAnsi="David" w:cs="David" w:hint="cs"/>
          <w:sz w:val="24"/>
          <w:szCs w:val="24"/>
          <w:rtl/>
        </w:rPr>
        <w:t xml:space="preserve"> </w:t>
      </w:r>
      <w:r w:rsidR="00DA1D71" w:rsidRPr="005F3228">
        <w:rPr>
          <w:rFonts w:ascii="David" w:hAnsi="David" w:cs="David" w:hint="cs"/>
          <w:sz w:val="24"/>
          <w:szCs w:val="24"/>
          <w:rtl/>
        </w:rPr>
        <w:t xml:space="preserve">לכאורה </w:t>
      </w:r>
      <w:r w:rsidR="00564AB3" w:rsidRPr="005F3228">
        <w:rPr>
          <w:rFonts w:ascii="David" w:hAnsi="David" w:cs="David" w:hint="cs"/>
          <w:sz w:val="24"/>
          <w:szCs w:val="24"/>
          <w:rtl/>
        </w:rPr>
        <w:t xml:space="preserve">מתעוררת </w:t>
      </w:r>
      <w:r w:rsidR="00A57994" w:rsidRPr="005F3228">
        <w:rPr>
          <w:rFonts w:ascii="David" w:hAnsi="David" w:cs="David" w:hint="cs"/>
          <w:sz w:val="24"/>
          <w:szCs w:val="24"/>
          <w:rtl/>
        </w:rPr>
        <w:t xml:space="preserve">השאלה אם </w:t>
      </w:r>
      <w:r w:rsidR="00DA1D71" w:rsidRPr="005F3228">
        <w:rPr>
          <w:rFonts w:ascii="David" w:hAnsi="David" w:cs="David" w:hint="cs"/>
          <w:sz w:val="24"/>
          <w:szCs w:val="24"/>
          <w:rtl/>
        </w:rPr>
        <w:t xml:space="preserve">הוראות הדינים הספציפיים הללו </w:t>
      </w:r>
      <w:r w:rsidR="00A57994" w:rsidRPr="005F3228">
        <w:rPr>
          <w:rFonts w:ascii="David" w:hAnsi="David" w:cs="David" w:hint="cs"/>
          <w:sz w:val="24"/>
          <w:szCs w:val="24"/>
          <w:rtl/>
        </w:rPr>
        <w:t xml:space="preserve">אינן </w:t>
      </w:r>
      <w:r w:rsidR="00DA1D71" w:rsidRPr="005F3228">
        <w:rPr>
          <w:rFonts w:ascii="David" w:hAnsi="David" w:cs="David" w:hint="cs"/>
          <w:sz w:val="24"/>
          <w:szCs w:val="24"/>
          <w:rtl/>
        </w:rPr>
        <w:t>ממצות את סוגית ההגנה על דמויות אמיתיות במשפט הישראלי</w:t>
      </w:r>
      <w:r w:rsidR="00A57994" w:rsidRPr="005F3228">
        <w:rPr>
          <w:rFonts w:ascii="David" w:hAnsi="David" w:cs="David" w:hint="cs"/>
          <w:sz w:val="24"/>
          <w:szCs w:val="24"/>
          <w:rtl/>
        </w:rPr>
        <w:t>, או במילים אחרות--</w:t>
      </w:r>
      <w:r w:rsidR="00564AB3" w:rsidRPr="005F3228">
        <w:rPr>
          <w:rFonts w:ascii="David" w:hAnsi="David" w:cs="David" w:hint="cs"/>
          <w:sz w:val="24"/>
          <w:szCs w:val="24"/>
          <w:rtl/>
        </w:rPr>
        <w:t xml:space="preserve">שאלת </w:t>
      </w:r>
      <w:r w:rsidR="00A57994" w:rsidRPr="005F3228">
        <w:rPr>
          <w:rFonts w:ascii="David" w:hAnsi="David" w:cs="David" w:hint="cs"/>
          <w:sz w:val="24"/>
          <w:szCs w:val="24"/>
          <w:rtl/>
        </w:rPr>
        <w:t xml:space="preserve">ההסדר השלילי. </w:t>
      </w:r>
      <w:r w:rsidR="00DA1D71" w:rsidRPr="005F3228">
        <w:rPr>
          <w:rFonts w:ascii="David" w:hAnsi="David" w:cs="David" w:hint="cs"/>
          <w:sz w:val="24"/>
          <w:szCs w:val="24"/>
          <w:rtl/>
        </w:rPr>
        <w:t xml:space="preserve">על כן, </w:t>
      </w:r>
      <w:r w:rsidR="00A57994" w:rsidRPr="005F3228">
        <w:rPr>
          <w:rFonts w:ascii="David" w:hAnsi="David" w:cs="David" w:hint="cs"/>
          <w:sz w:val="24"/>
          <w:szCs w:val="24"/>
          <w:rtl/>
        </w:rPr>
        <w:t>גם</w:t>
      </w:r>
      <w:r w:rsidR="00DA1D71" w:rsidRPr="005F3228">
        <w:rPr>
          <w:rFonts w:ascii="David" w:hAnsi="David" w:cs="David" w:hint="cs"/>
          <w:sz w:val="24"/>
          <w:szCs w:val="24"/>
          <w:rtl/>
        </w:rPr>
        <w:t xml:space="preserve"> אם ראוי להכיר בזכות לפרסום </w:t>
      </w:r>
      <w:proofErr w:type="spellStart"/>
      <w:r w:rsidR="00DA1D71" w:rsidRPr="005F3228">
        <w:rPr>
          <w:rFonts w:ascii="David" w:hAnsi="David" w:cs="David" w:hint="cs"/>
          <w:sz w:val="24"/>
          <w:szCs w:val="24"/>
          <w:rtl/>
        </w:rPr>
        <w:t>מכח</w:t>
      </w:r>
      <w:proofErr w:type="spellEnd"/>
      <w:r w:rsidR="00DA1D71" w:rsidRPr="005F3228">
        <w:rPr>
          <w:rFonts w:ascii="David" w:hAnsi="David" w:cs="David" w:hint="cs"/>
          <w:sz w:val="24"/>
          <w:szCs w:val="24"/>
          <w:rtl/>
        </w:rPr>
        <w:t xml:space="preserve"> דיני עשיית עושר (ואנו סבורים כי אכן ראוי לעשות כן), העמדה כי סוגית ההסדר השלילי </w:t>
      </w:r>
      <w:r w:rsidR="00337A76" w:rsidRPr="005F3228">
        <w:rPr>
          <w:rFonts w:ascii="David" w:hAnsi="David" w:cs="David" w:hint="cs"/>
          <w:sz w:val="24"/>
          <w:szCs w:val="24"/>
          <w:rtl/>
        </w:rPr>
        <w:t xml:space="preserve">ותחולת </w:t>
      </w:r>
      <w:r w:rsidR="00AC75C6" w:rsidRPr="005F3228">
        <w:rPr>
          <w:rFonts w:ascii="David" w:hAnsi="David" w:cs="David" w:hint="cs"/>
          <w:sz w:val="24"/>
          <w:szCs w:val="24"/>
          <w:rtl/>
        </w:rPr>
        <w:t xml:space="preserve">הלכת </w:t>
      </w:r>
      <w:proofErr w:type="spellStart"/>
      <w:r w:rsidR="00337A76" w:rsidRPr="005F3228">
        <w:rPr>
          <w:rFonts w:ascii="David" w:hAnsi="David" w:cs="David" w:hint="cs"/>
          <w:sz w:val="24"/>
          <w:szCs w:val="24"/>
          <w:rtl/>
        </w:rPr>
        <w:t>א.ש.י.ר</w:t>
      </w:r>
      <w:proofErr w:type="spellEnd"/>
      <w:r w:rsidR="00337A76" w:rsidRPr="005F3228">
        <w:rPr>
          <w:rFonts w:ascii="David" w:hAnsi="David" w:cs="David" w:hint="cs"/>
          <w:sz w:val="24"/>
          <w:szCs w:val="24"/>
          <w:rtl/>
        </w:rPr>
        <w:t xml:space="preserve">. </w:t>
      </w:r>
      <w:r w:rsidR="00DA1D71" w:rsidRPr="005F3228">
        <w:rPr>
          <w:rFonts w:ascii="David" w:hAnsi="David" w:cs="David" w:hint="cs"/>
          <w:sz w:val="24"/>
          <w:szCs w:val="24"/>
          <w:rtl/>
        </w:rPr>
        <w:t>אינ</w:t>
      </w:r>
      <w:r w:rsidR="00337A76" w:rsidRPr="005F3228">
        <w:rPr>
          <w:rFonts w:ascii="David" w:hAnsi="David" w:cs="David" w:hint="cs"/>
          <w:sz w:val="24"/>
          <w:szCs w:val="24"/>
          <w:rtl/>
        </w:rPr>
        <w:t>ן</w:t>
      </w:r>
      <w:r w:rsidR="00DA1D71" w:rsidRPr="005F3228">
        <w:rPr>
          <w:rFonts w:ascii="David" w:hAnsi="David" w:cs="David" w:hint="cs"/>
          <w:sz w:val="24"/>
          <w:szCs w:val="24"/>
          <w:rtl/>
        </w:rPr>
        <w:t xml:space="preserve"> מתעורר</w:t>
      </w:r>
      <w:r w:rsidR="00337A76" w:rsidRPr="005F3228">
        <w:rPr>
          <w:rFonts w:ascii="David" w:hAnsi="David" w:cs="David" w:hint="cs"/>
          <w:sz w:val="24"/>
          <w:szCs w:val="24"/>
          <w:rtl/>
        </w:rPr>
        <w:t>ו</w:t>
      </w:r>
      <w:r w:rsidR="00DA1D71" w:rsidRPr="005F3228">
        <w:rPr>
          <w:rFonts w:ascii="David" w:hAnsi="David" w:cs="David" w:hint="cs"/>
          <w:sz w:val="24"/>
          <w:szCs w:val="24"/>
          <w:rtl/>
        </w:rPr>
        <w:t xml:space="preserve">ת כלל ביחס לזכות </w:t>
      </w:r>
      <w:r w:rsidR="004661A5" w:rsidRPr="005F3228">
        <w:rPr>
          <w:rFonts w:ascii="David" w:hAnsi="David" w:cs="David" w:hint="cs"/>
          <w:sz w:val="24"/>
          <w:szCs w:val="24"/>
          <w:rtl/>
        </w:rPr>
        <w:t>זו</w:t>
      </w:r>
      <w:r w:rsidR="00DA1D71" w:rsidRPr="005F3228">
        <w:rPr>
          <w:rFonts w:ascii="David" w:hAnsi="David" w:cs="David" w:hint="cs"/>
          <w:sz w:val="24"/>
          <w:szCs w:val="24"/>
          <w:rtl/>
        </w:rPr>
        <w:t>, היא למצער לא מובנת מאליה.</w:t>
      </w:r>
      <w:r w:rsidR="00422B2F" w:rsidRPr="005F3228">
        <w:rPr>
          <w:rFonts w:ascii="David" w:hAnsi="David" w:cs="David" w:hint="cs"/>
          <w:sz w:val="24"/>
          <w:szCs w:val="24"/>
          <w:rtl/>
        </w:rPr>
        <w:t xml:space="preserve"> </w:t>
      </w:r>
      <w:r w:rsidR="00DA1D71" w:rsidRPr="005F3228">
        <w:rPr>
          <w:rFonts w:ascii="David" w:hAnsi="David" w:cs="David" w:hint="cs"/>
          <w:sz w:val="24"/>
          <w:szCs w:val="24"/>
          <w:rtl/>
        </w:rPr>
        <w:t xml:space="preserve">לאור </w:t>
      </w:r>
      <w:r w:rsidR="00DA1D71" w:rsidRPr="005F3228">
        <w:rPr>
          <w:rFonts w:ascii="David" w:hAnsi="David" w:cs="David" w:hint="cs"/>
          <w:sz w:val="24"/>
          <w:szCs w:val="24"/>
          <w:rtl/>
        </w:rPr>
        <w:lastRenderedPageBreak/>
        <w:t xml:space="preserve">זאת, בחרנו במסגרת </w:t>
      </w:r>
      <w:r w:rsidR="00337A76" w:rsidRPr="005F3228">
        <w:rPr>
          <w:rFonts w:ascii="David" w:hAnsi="David" w:cs="David" w:hint="cs"/>
          <w:sz w:val="24"/>
          <w:szCs w:val="24"/>
          <w:rtl/>
        </w:rPr>
        <w:t xml:space="preserve">המתודולוגיה של </w:t>
      </w:r>
      <w:r w:rsidR="00DA1D71" w:rsidRPr="005F3228">
        <w:rPr>
          <w:rFonts w:ascii="David" w:hAnsi="David" w:cs="David" w:hint="cs"/>
          <w:sz w:val="24"/>
          <w:szCs w:val="24"/>
          <w:rtl/>
        </w:rPr>
        <w:t xml:space="preserve">מחקר זה להתייחס </w:t>
      </w:r>
      <w:r w:rsidR="004661A5" w:rsidRPr="005F3228">
        <w:rPr>
          <w:rFonts w:ascii="David" w:hAnsi="David" w:cs="David" w:hint="cs"/>
          <w:sz w:val="24"/>
          <w:szCs w:val="24"/>
          <w:rtl/>
        </w:rPr>
        <w:t xml:space="preserve">לפסיקה שהכירה בהפרת הזכות לפרסום (בהעדר הפרה של זכות קניין רוחני נוספת) כאל מקרים "דמויי </w:t>
      </w:r>
      <w:proofErr w:type="spellStart"/>
      <w:r w:rsidR="004661A5" w:rsidRPr="005F3228">
        <w:rPr>
          <w:rFonts w:ascii="David" w:hAnsi="David" w:cs="David" w:hint="cs"/>
          <w:sz w:val="24"/>
          <w:szCs w:val="24"/>
          <w:rtl/>
        </w:rPr>
        <w:t>א.ש.י.ר</w:t>
      </w:r>
      <w:proofErr w:type="spellEnd"/>
      <w:r w:rsidR="004661A5" w:rsidRPr="005F3228">
        <w:rPr>
          <w:rFonts w:ascii="David" w:hAnsi="David" w:cs="David" w:hint="cs"/>
          <w:sz w:val="24"/>
          <w:szCs w:val="24"/>
          <w:rtl/>
        </w:rPr>
        <w:t>".</w:t>
      </w:r>
      <w:bookmarkStart w:id="46" w:name="_Ref28248552"/>
      <w:r w:rsidR="004661A5" w:rsidRPr="005F3228">
        <w:rPr>
          <w:rStyle w:val="FootnoteReference"/>
          <w:rFonts w:ascii="David" w:hAnsi="David" w:cs="David"/>
          <w:sz w:val="24"/>
          <w:szCs w:val="24"/>
          <w:rtl/>
        </w:rPr>
        <w:footnoteReference w:id="78"/>
      </w:r>
      <w:bookmarkEnd w:id="46"/>
      <w:r w:rsidR="004661A5" w:rsidRPr="005F3228">
        <w:rPr>
          <w:rFonts w:ascii="David" w:hAnsi="David" w:cs="David" w:hint="cs"/>
          <w:sz w:val="24"/>
          <w:szCs w:val="24"/>
          <w:rtl/>
        </w:rPr>
        <w:t xml:space="preserve"> </w:t>
      </w:r>
    </w:p>
    <w:p w14:paraId="3CC4F0BB" w14:textId="77777777" w:rsidR="00F215A5" w:rsidRPr="005F3228" w:rsidRDefault="00F215A5" w:rsidP="0047225C">
      <w:pPr>
        <w:spacing w:line="300" w:lineRule="exact"/>
        <w:jc w:val="both"/>
        <w:rPr>
          <w:rFonts w:ascii="David" w:hAnsi="David" w:cs="David"/>
          <w:b/>
          <w:bCs/>
          <w:sz w:val="24"/>
          <w:szCs w:val="24"/>
          <w:rtl/>
        </w:rPr>
      </w:pPr>
      <w:r w:rsidRPr="005F3228">
        <w:rPr>
          <w:rFonts w:ascii="David" w:hAnsi="David" w:cs="David"/>
          <w:sz w:val="24"/>
          <w:szCs w:val="24"/>
          <w:rtl/>
        </w:rPr>
        <w:t xml:space="preserve">מאז ההכרה העקרונית בזכות </w:t>
      </w:r>
      <w:r w:rsidR="00795AE9" w:rsidRPr="005F3228">
        <w:rPr>
          <w:rFonts w:ascii="David" w:hAnsi="David" w:cs="David" w:hint="cs"/>
          <w:sz w:val="24"/>
          <w:szCs w:val="24"/>
          <w:rtl/>
        </w:rPr>
        <w:t>ל</w:t>
      </w:r>
      <w:r w:rsidR="00795AE9" w:rsidRPr="005F3228">
        <w:rPr>
          <w:rFonts w:ascii="David" w:hAnsi="David" w:cs="David"/>
          <w:sz w:val="24"/>
          <w:szCs w:val="24"/>
          <w:rtl/>
        </w:rPr>
        <w:t xml:space="preserve">פרסום </w:t>
      </w:r>
      <w:r w:rsidRPr="005F3228">
        <w:rPr>
          <w:rFonts w:ascii="David" w:hAnsi="David" w:cs="David"/>
          <w:sz w:val="24"/>
          <w:szCs w:val="24"/>
          <w:rtl/>
        </w:rPr>
        <w:t xml:space="preserve">בפרשת </w:t>
      </w:r>
      <w:r w:rsidRPr="005F3228">
        <w:rPr>
          <w:rFonts w:ascii="David" w:hAnsi="David" w:cs="David"/>
          <w:b/>
          <w:bCs/>
          <w:sz w:val="24"/>
          <w:szCs w:val="24"/>
          <w:rtl/>
        </w:rPr>
        <w:t>מקדונלד</w:t>
      </w:r>
      <w:r w:rsidRPr="005F3228">
        <w:rPr>
          <w:rFonts w:ascii="David" w:hAnsi="David" w:cs="David"/>
          <w:sz w:val="24"/>
          <w:szCs w:val="24"/>
          <w:rtl/>
        </w:rPr>
        <w:t xml:space="preserve">, ניתנו </w:t>
      </w:r>
      <w:r w:rsidR="0006171E" w:rsidRPr="005F3228">
        <w:rPr>
          <w:rFonts w:ascii="David" w:hAnsi="David" w:cs="David" w:hint="cs"/>
          <w:sz w:val="24"/>
          <w:szCs w:val="24"/>
          <w:rtl/>
        </w:rPr>
        <w:t xml:space="preserve">כמה </w:t>
      </w:r>
      <w:r w:rsidRPr="005F3228">
        <w:rPr>
          <w:rFonts w:ascii="David" w:hAnsi="David" w:cs="David"/>
          <w:sz w:val="24"/>
          <w:szCs w:val="24"/>
          <w:rtl/>
        </w:rPr>
        <w:t>פסקי דין נוספים שהמשיכו לפתח את הזכות וליישמה בנסיבות שונות.</w:t>
      </w:r>
      <w:bookmarkStart w:id="47" w:name="_Ref28465268"/>
      <w:r w:rsidRPr="005F3228">
        <w:rPr>
          <w:rStyle w:val="FootnoteReference"/>
          <w:rFonts w:ascii="David" w:hAnsi="David" w:cs="David"/>
          <w:sz w:val="24"/>
          <w:szCs w:val="24"/>
          <w:rtl/>
        </w:rPr>
        <w:footnoteReference w:id="79"/>
      </w:r>
      <w:bookmarkEnd w:id="47"/>
      <w:r w:rsidRPr="005F3228">
        <w:rPr>
          <w:rFonts w:ascii="David" w:hAnsi="David" w:cs="David"/>
          <w:sz w:val="24"/>
          <w:szCs w:val="24"/>
          <w:rtl/>
        </w:rPr>
        <w:t xml:space="preserve"> בחלק מפסקי הדין הללו כבר לא מופיעה כל התייחסות להלכת </w:t>
      </w:r>
      <w:proofErr w:type="spellStart"/>
      <w:r w:rsidRPr="005F3228">
        <w:rPr>
          <w:rFonts w:ascii="David" w:hAnsi="David" w:cs="David"/>
          <w:b/>
          <w:bCs/>
          <w:sz w:val="24"/>
          <w:szCs w:val="24"/>
          <w:rtl/>
        </w:rPr>
        <w:t>א.ש.י.ר</w:t>
      </w:r>
      <w:proofErr w:type="spellEnd"/>
      <w:r w:rsidRPr="005F3228">
        <w:rPr>
          <w:rFonts w:ascii="David" w:hAnsi="David" w:cs="David"/>
          <w:b/>
          <w:bCs/>
          <w:sz w:val="24"/>
          <w:szCs w:val="24"/>
          <w:rtl/>
        </w:rPr>
        <w:t>.</w:t>
      </w:r>
      <w:r w:rsidRPr="005F3228">
        <w:rPr>
          <w:rFonts w:ascii="David" w:hAnsi="David" w:cs="David"/>
          <w:sz w:val="24"/>
          <w:szCs w:val="24"/>
          <w:rtl/>
        </w:rPr>
        <w:t xml:space="preserve">, אף לא על דרך של אזכור אגבי, </w:t>
      </w:r>
      <w:r w:rsidR="00A70342" w:rsidRPr="005F3228">
        <w:rPr>
          <w:rFonts w:ascii="David" w:hAnsi="David" w:cs="David" w:hint="cs"/>
          <w:sz w:val="24"/>
          <w:szCs w:val="24"/>
          <w:rtl/>
        </w:rPr>
        <w:t xml:space="preserve">או לזכויות קניין רוחני אחרות, </w:t>
      </w:r>
      <w:r w:rsidRPr="005F3228">
        <w:rPr>
          <w:rFonts w:ascii="David" w:hAnsi="David" w:cs="David"/>
          <w:sz w:val="24"/>
          <w:szCs w:val="24"/>
          <w:rtl/>
        </w:rPr>
        <w:t>אלא אך ורק ל</w:t>
      </w:r>
      <w:r w:rsidR="00A70342" w:rsidRPr="005F3228">
        <w:rPr>
          <w:rFonts w:ascii="David" w:hAnsi="David" w:cs="David" w:hint="cs"/>
          <w:sz w:val="24"/>
          <w:szCs w:val="24"/>
          <w:rtl/>
        </w:rPr>
        <w:t>זכות לפרסום ול</w:t>
      </w:r>
      <w:r w:rsidRPr="005F3228">
        <w:rPr>
          <w:rFonts w:ascii="David" w:hAnsi="David" w:cs="David"/>
          <w:sz w:val="24"/>
          <w:szCs w:val="24"/>
          <w:rtl/>
        </w:rPr>
        <w:t xml:space="preserve">עניין </w:t>
      </w:r>
      <w:r w:rsidRPr="005F3228">
        <w:rPr>
          <w:rFonts w:ascii="David" w:hAnsi="David" w:cs="David"/>
          <w:b/>
          <w:bCs/>
          <w:sz w:val="24"/>
          <w:szCs w:val="24"/>
          <w:rtl/>
        </w:rPr>
        <w:t>מקדונלד</w:t>
      </w:r>
      <w:r w:rsidRPr="005F3228">
        <w:rPr>
          <w:rFonts w:ascii="David" w:hAnsi="David" w:cs="David"/>
          <w:sz w:val="24"/>
          <w:szCs w:val="24"/>
          <w:rtl/>
        </w:rPr>
        <w:t>.</w:t>
      </w:r>
      <w:bookmarkStart w:id="48" w:name="_Ref28324828"/>
      <w:r w:rsidRPr="005F3228">
        <w:rPr>
          <w:rStyle w:val="FootnoteReference"/>
          <w:rFonts w:ascii="David" w:hAnsi="David" w:cs="David"/>
          <w:sz w:val="24"/>
          <w:szCs w:val="24"/>
          <w:rtl/>
        </w:rPr>
        <w:footnoteReference w:id="80"/>
      </w:r>
      <w:bookmarkEnd w:id="48"/>
      <w:r w:rsidRPr="005F3228">
        <w:rPr>
          <w:rFonts w:ascii="David" w:hAnsi="David" w:cs="David"/>
          <w:sz w:val="24"/>
          <w:szCs w:val="24"/>
          <w:rtl/>
        </w:rPr>
        <w:t xml:space="preserve"> </w:t>
      </w:r>
    </w:p>
    <w:p w14:paraId="6A53F805" w14:textId="77777777" w:rsidR="001E2644" w:rsidRPr="005F3228" w:rsidRDefault="001E2644" w:rsidP="00425A0E">
      <w:pPr>
        <w:pStyle w:val="ListParagraph"/>
        <w:numPr>
          <w:ilvl w:val="0"/>
          <w:numId w:val="12"/>
        </w:numPr>
        <w:spacing w:line="300" w:lineRule="exact"/>
        <w:ind w:left="26" w:firstLine="0"/>
        <w:jc w:val="both"/>
        <w:rPr>
          <w:rFonts w:ascii="David" w:hAnsi="David" w:cs="David"/>
          <w:b/>
          <w:bCs/>
          <w:sz w:val="24"/>
          <w:szCs w:val="24"/>
          <w:rtl/>
        </w:rPr>
      </w:pPr>
      <w:r w:rsidRPr="005F3228">
        <w:rPr>
          <w:rFonts w:ascii="David" w:hAnsi="David" w:cs="David" w:hint="cs"/>
          <w:b/>
          <w:bCs/>
          <w:sz w:val="24"/>
          <w:szCs w:val="24"/>
          <w:rtl/>
        </w:rPr>
        <w:t>זכויות שידור לאירועי ספורט</w:t>
      </w:r>
    </w:p>
    <w:p w14:paraId="325EB999" w14:textId="77777777" w:rsidR="004B5E57" w:rsidRPr="005F3228" w:rsidRDefault="0006171E" w:rsidP="00425A0E">
      <w:pPr>
        <w:spacing w:line="300" w:lineRule="exact"/>
        <w:jc w:val="both"/>
        <w:rPr>
          <w:rFonts w:ascii="David" w:hAnsi="David" w:cs="David"/>
          <w:sz w:val="24"/>
          <w:szCs w:val="24"/>
          <w:rtl/>
        </w:rPr>
      </w:pPr>
      <w:r w:rsidRPr="005F3228">
        <w:rPr>
          <w:rFonts w:ascii="David" w:hAnsi="David" w:cs="David" w:hint="cs"/>
          <w:sz w:val="24"/>
          <w:szCs w:val="24"/>
          <w:rtl/>
        </w:rPr>
        <w:t xml:space="preserve">מקרה שני </w:t>
      </w:r>
      <w:r w:rsidR="006A10FC" w:rsidRPr="005F3228">
        <w:rPr>
          <w:rFonts w:ascii="David" w:hAnsi="David" w:cs="David" w:hint="cs"/>
          <w:sz w:val="24"/>
          <w:szCs w:val="24"/>
          <w:rtl/>
        </w:rPr>
        <w:t>בו פותחה</w:t>
      </w:r>
      <w:r w:rsidRPr="005F3228">
        <w:rPr>
          <w:rFonts w:ascii="David" w:hAnsi="David" w:cs="David" w:hint="cs"/>
          <w:sz w:val="24"/>
          <w:szCs w:val="24"/>
          <w:rtl/>
        </w:rPr>
        <w:t xml:space="preserve"> זכות "מעין קניין רוחני"</w:t>
      </w:r>
      <w:r w:rsidR="00F215A5" w:rsidRPr="005F3228">
        <w:rPr>
          <w:rFonts w:ascii="David" w:hAnsi="David" w:cs="David"/>
          <w:sz w:val="24"/>
          <w:szCs w:val="24"/>
          <w:rtl/>
        </w:rPr>
        <w:t xml:space="preserve"> </w:t>
      </w:r>
      <w:r w:rsidRPr="005F3228">
        <w:rPr>
          <w:rFonts w:ascii="David" w:hAnsi="David" w:cs="David" w:hint="cs"/>
          <w:sz w:val="24"/>
          <w:szCs w:val="24"/>
          <w:rtl/>
        </w:rPr>
        <w:t>על בסיס</w:t>
      </w:r>
      <w:r w:rsidRPr="005F3228">
        <w:rPr>
          <w:rFonts w:ascii="David" w:hAnsi="David" w:cs="David"/>
          <w:sz w:val="24"/>
          <w:szCs w:val="24"/>
          <w:rtl/>
        </w:rPr>
        <w:t xml:space="preserve"> </w:t>
      </w:r>
      <w:r w:rsidR="00F215A5" w:rsidRPr="005F3228">
        <w:rPr>
          <w:rFonts w:ascii="David" w:hAnsi="David" w:cs="David"/>
          <w:sz w:val="24"/>
          <w:szCs w:val="24"/>
          <w:rtl/>
        </w:rPr>
        <w:t xml:space="preserve">דיני עשיית עושר </w:t>
      </w:r>
      <w:r w:rsidRPr="005F3228">
        <w:rPr>
          <w:rFonts w:ascii="David" w:hAnsi="David" w:cs="David" w:hint="cs"/>
          <w:sz w:val="24"/>
          <w:szCs w:val="24"/>
          <w:rtl/>
        </w:rPr>
        <w:t xml:space="preserve">ולא במשפט נוגע לזכויות שידור לאירועי ספורט. </w:t>
      </w:r>
      <w:r w:rsidR="006A10FC" w:rsidRPr="005F3228">
        <w:rPr>
          <w:rFonts w:ascii="David" w:hAnsi="David" w:cs="David" w:hint="cs"/>
          <w:sz w:val="24"/>
          <w:szCs w:val="24"/>
          <w:rtl/>
        </w:rPr>
        <w:t>המונח "זכויות שידור" מתייחס  ל</w:t>
      </w:r>
      <w:r w:rsidR="00F215A5" w:rsidRPr="005F3228">
        <w:rPr>
          <w:rFonts w:ascii="David" w:hAnsi="David" w:cs="David"/>
          <w:sz w:val="24"/>
          <w:szCs w:val="24"/>
          <w:rtl/>
        </w:rPr>
        <w:t>זכותם של מ</w:t>
      </w:r>
      <w:r w:rsidR="00F30EB3" w:rsidRPr="005F3228">
        <w:rPr>
          <w:rFonts w:ascii="David" w:hAnsi="David" w:cs="David" w:hint="cs"/>
          <w:sz w:val="24"/>
          <w:szCs w:val="24"/>
          <w:rtl/>
        </w:rPr>
        <w:t>ארגני</w:t>
      </w:r>
      <w:r w:rsidR="00F215A5" w:rsidRPr="005F3228">
        <w:rPr>
          <w:rFonts w:ascii="David" w:hAnsi="David" w:cs="David"/>
          <w:sz w:val="24"/>
          <w:szCs w:val="24"/>
          <w:rtl/>
        </w:rPr>
        <w:t xml:space="preserve"> אירועי ספורט (ובמידה מסוימת, בעלי רישיון בלעדי) למנוע שידור חי של אירועי ספורט על ידי צד שלישי לא מורשה. חשוב להבהיר כי זכות זו היא זכות נפרדת ומובדלת מ</w:t>
      </w:r>
      <w:r w:rsidR="006A10FC" w:rsidRPr="005F3228">
        <w:rPr>
          <w:rFonts w:ascii="David" w:hAnsi="David" w:cs="David" w:hint="cs"/>
          <w:sz w:val="24"/>
          <w:szCs w:val="24"/>
          <w:rtl/>
        </w:rPr>
        <w:t>ן ה</w:t>
      </w:r>
      <w:r w:rsidR="00F215A5" w:rsidRPr="005F3228">
        <w:rPr>
          <w:rFonts w:ascii="David" w:hAnsi="David" w:cs="David"/>
          <w:sz w:val="24"/>
          <w:szCs w:val="24"/>
          <w:rtl/>
        </w:rPr>
        <w:t xml:space="preserve">זכות </w:t>
      </w:r>
      <w:r w:rsidR="00F30EB3" w:rsidRPr="005F3228">
        <w:rPr>
          <w:rFonts w:ascii="David" w:hAnsi="David" w:cs="David" w:hint="cs"/>
          <w:sz w:val="24"/>
          <w:szCs w:val="24"/>
          <w:rtl/>
        </w:rPr>
        <w:t>במשדר</w:t>
      </w:r>
      <w:r w:rsidR="00F215A5" w:rsidRPr="005F3228">
        <w:rPr>
          <w:rFonts w:ascii="David" w:hAnsi="David" w:cs="David"/>
          <w:sz w:val="24"/>
          <w:szCs w:val="24"/>
          <w:rtl/>
        </w:rPr>
        <w:t xml:space="preserve"> </w:t>
      </w:r>
      <w:r w:rsidR="00F30EB3" w:rsidRPr="005F3228">
        <w:rPr>
          <w:rFonts w:ascii="David" w:hAnsi="David" w:cs="David" w:hint="cs"/>
          <w:sz w:val="24"/>
          <w:szCs w:val="24"/>
          <w:rtl/>
        </w:rPr>
        <w:t>ה</w:t>
      </w:r>
      <w:r w:rsidR="00F215A5" w:rsidRPr="005F3228">
        <w:rPr>
          <w:rFonts w:ascii="David" w:hAnsi="David" w:cs="David"/>
          <w:sz w:val="24"/>
          <w:szCs w:val="24"/>
          <w:rtl/>
        </w:rPr>
        <w:t xml:space="preserve">ספורט שהופק על-ידי גורם כלשהו, אשר </w:t>
      </w:r>
      <w:r w:rsidR="006A10FC" w:rsidRPr="005F3228">
        <w:rPr>
          <w:rFonts w:ascii="David" w:hAnsi="David" w:cs="David" w:hint="cs"/>
          <w:sz w:val="24"/>
          <w:szCs w:val="24"/>
          <w:rtl/>
        </w:rPr>
        <w:t xml:space="preserve">נפסק </w:t>
      </w:r>
      <w:r w:rsidR="00DF15CE" w:rsidRPr="005F3228">
        <w:rPr>
          <w:rFonts w:ascii="David" w:hAnsi="David" w:cs="David" w:hint="cs"/>
          <w:sz w:val="24"/>
          <w:szCs w:val="24"/>
          <w:rtl/>
        </w:rPr>
        <w:t xml:space="preserve">על ידי בית המשפט העליון </w:t>
      </w:r>
      <w:r w:rsidR="006A10FC" w:rsidRPr="005F3228">
        <w:rPr>
          <w:rFonts w:ascii="David" w:hAnsi="David" w:cs="David" w:hint="cs"/>
          <w:sz w:val="24"/>
          <w:szCs w:val="24"/>
          <w:rtl/>
        </w:rPr>
        <w:t xml:space="preserve">כי הוא </w:t>
      </w:r>
      <w:r w:rsidR="00F215A5" w:rsidRPr="005F3228">
        <w:rPr>
          <w:rFonts w:ascii="David" w:hAnsi="David" w:cs="David"/>
          <w:sz w:val="24"/>
          <w:szCs w:val="24"/>
          <w:rtl/>
        </w:rPr>
        <w:t xml:space="preserve">מהווה "יצירה דרמטית" </w:t>
      </w:r>
      <w:r w:rsidR="006A10FC" w:rsidRPr="005F3228">
        <w:rPr>
          <w:rFonts w:ascii="David" w:hAnsi="David" w:cs="David" w:hint="cs"/>
          <w:sz w:val="24"/>
          <w:szCs w:val="24"/>
          <w:rtl/>
        </w:rPr>
        <w:t>המוגנת</w:t>
      </w:r>
      <w:r w:rsidR="00F215A5" w:rsidRPr="005F3228">
        <w:rPr>
          <w:rFonts w:ascii="David" w:hAnsi="David" w:cs="David"/>
          <w:sz w:val="24"/>
          <w:szCs w:val="24"/>
          <w:rtl/>
        </w:rPr>
        <w:t xml:space="preserve"> </w:t>
      </w:r>
      <w:r w:rsidR="006A10FC" w:rsidRPr="005F3228">
        <w:rPr>
          <w:rFonts w:ascii="David" w:hAnsi="David" w:cs="David" w:hint="cs"/>
          <w:sz w:val="24"/>
          <w:szCs w:val="24"/>
          <w:rtl/>
        </w:rPr>
        <w:t>ב</w:t>
      </w:r>
      <w:r w:rsidR="00F215A5" w:rsidRPr="005F3228">
        <w:rPr>
          <w:rFonts w:ascii="David" w:hAnsi="David" w:cs="David"/>
          <w:sz w:val="24"/>
          <w:szCs w:val="24"/>
          <w:rtl/>
        </w:rPr>
        <w:t>זכות יוצרים.</w:t>
      </w:r>
      <w:bookmarkStart w:id="49" w:name="_Ref28286155"/>
      <w:r w:rsidR="00F215A5" w:rsidRPr="005F3228">
        <w:rPr>
          <w:rStyle w:val="FootnoteReference"/>
          <w:rFonts w:ascii="David" w:hAnsi="David" w:cs="David"/>
          <w:sz w:val="24"/>
          <w:szCs w:val="24"/>
          <w:rtl/>
        </w:rPr>
        <w:footnoteReference w:id="81"/>
      </w:r>
      <w:bookmarkEnd w:id="49"/>
      <w:r w:rsidR="00F215A5" w:rsidRPr="005F3228">
        <w:rPr>
          <w:rFonts w:ascii="David" w:hAnsi="David" w:cs="David"/>
          <w:sz w:val="24"/>
          <w:szCs w:val="24"/>
          <w:rtl/>
        </w:rPr>
        <w:t xml:space="preserve"> </w:t>
      </w:r>
      <w:r w:rsidR="00F30EB3" w:rsidRPr="005F3228">
        <w:rPr>
          <w:rFonts w:ascii="David" w:hAnsi="David" w:cs="David" w:hint="cs"/>
          <w:sz w:val="24"/>
          <w:szCs w:val="24"/>
          <w:rtl/>
        </w:rPr>
        <w:t>עוד יש להבהיר</w:t>
      </w:r>
      <w:r w:rsidR="004C73FC" w:rsidRPr="005F3228">
        <w:rPr>
          <w:rFonts w:ascii="David" w:hAnsi="David" w:cs="David" w:hint="cs"/>
          <w:sz w:val="24"/>
          <w:szCs w:val="24"/>
          <w:rtl/>
        </w:rPr>
        <w:t>, כי אירוע הספורט עצמו אינו מוגן בזכויות יוצרים.</w:t>
      </w:r>
      <w:r w:rsidR="004C73FC" w:rsidRPr="005F3228">
        <w:rPr>
          <w:rStyle w:val="FootnoteReference"/>
          <w:rFonts w:ascii="David" w:hAnsi="David" w:cs="David"/>
          <w:sz w:val="24"/>
          <w:szCs w:val="24"/>
          <w:rtl/>
        </w:rPr>
        <w:footnoteReference w:id="82"/>
      </w:r>
      <w:r w:rsidR="004C73FC" w:rsidRPr="005F3228">
        <w:rPr>
          <w:rFonts w:ascii="David" w:hAnsi="David" w:cs="David" w:hint="cs"/>
          <w:sz w:val="24"/>
          <w:szCs w:val="24"/>
          <w:rtl/>
        </w:rPr>
        <w:t xml:space="preserve"> </w:t>
      </w:r>
      <w:r w:rsidR="00DF15CE" w:rsidRPr="005F3228">
        <w:rPr>
          <w:rFonts w:ascii="David" w:hAnsi="David" w:cs="David" w:hint="cs"/>
          <w:sz w:val="24"/>
          <w:szCs w:val="24"/>
          <w:rtl/>
        </w:rPr>
        <w:t xml:space="preserve">על כן, </w:t>
      </w:r>
      <w:r w:rsidR="00791BFD" w:rsidRPr="005F3228">
        <w:rPr>
          <w:rFonts w:ascii="David" w:hAnsi="David" w:cs="David" w:hint="cs"/>
          <w:sz w:val="24"/>
          <w:szCs w:val="24"/>
          <w:rtl/>
        </w:rPr>
        <w:t>תיעוד</w:t>
      </w:r>
      <w:r w:rsidR="00DF15CE" w:rsidRPr="005F3228">
        <w:rPr>
          <w:rFonts w:ascii="David" w:hAnsi="David" w:cs="David" w:hint="cs"/>
          <w:sz w:val="24"/>
          <w:szCs w:val="24"/>
          <w:rtl/>
        </w:rPr>
        <w:t xml:space="preserve"> עצמאי של האירוע בעת התרחשותו (להבדיל משימוש במשדר טלוויזיוני) אינו מהווה הפרה של זכויות יוצרים. </w:t>
      </w:r>
    </w:p>
    <w:p w14:paraId="7702FDFE" w14:textId="77777777" w:rsidR="004B5E57" w:rsidRPr="005F3228" w:rsidRDefault="00791BFD" w:rsidP="000B2C0F">
      <w:pPr>
        <w:spacing w:line="300" w:lineRule="exact"/>
        <w:jc w:val="both"/>
        <w:rPr>
          <w:rFonts w:ascii="David" w:hAnsi="David" w:cs="David"/>
          <w:sz w:val="24"/>
          <w:szCs w:val="24"/>
          <w:rtl/>
        </w:rPr>
      </w:pPr>
      <w:r w:rsidRPr="005F3228">
        <w:rPr>
          <w:rFonts w:ascii="David" w:hAnsi="David" w:cs="David" w:hint="cs"/>
          <w:sz w:val="24"/>
          <w:szCs w:val="24"/>
          <w:rtl/>
        </w:rPr>
        <w:t xml:space="preserve">על רקע זה הכיר בית המשפט המחוזי בתל אביב </w:t>
      </w:r>
      <w:r w:rsidRPr="005F3228">
        <w:rPr>
          <w:rFonts w:ascii="David" w:hAnsi="David" w:cs="David"/>
          <w:sz w:val="24"/>
          <w:szCs w:val="24"/>
          <w:rtl/>
        </w:rPr>
        <w:t xml:space="preserve">בפרשת </w:t>
      </w:r>
      <w:r w:rsidRPr="005F3228">
        <w:rPr>
          <w:rFonts w:ascii="David" w:hAnsi="David" w:cs="David"/>
          <w:b/>
          <w:bCs/>
          <w:sz w:val="24"/>
          <w:szCs w:val="24"/>
          <w:rtl/>
        </w:rPr>
        <w:t>רדיו ללא הפסקה</w:t>
      </w:r>
      <w:r w:rsidRPr="005F3228">
        <w:rPr>
          <w:rFonts w:ascii="David" w:hAnsi="David" w:cs="David"/>
          <w:sz w:val="24"/>
          <w:szCs w:val="24"/>
          <w:rtl/>
        </w:rPr>
        <w:t xml:space="preserve"> </w:t>
      </w:r>
      <w:r w:rsidRPr="005F3228">
        <w:rPr>
          <w:rFonts w:ascii="David" w:hAnsi="David" w:cs="David" w:hint="cs"/>
          <w:sz w:val="24"/>
          <w:szCs w:val="24"/>
          <w:rtl/>
        </w:rPr>
        <w:t>בצורך להגן על "</w:t>
      </w:r>
      <w:r w:rsidR="00F215A5" w:rsidRPr="005F3228">
        <w:rPr>
          <w:rFonts w:ascii="David" w:hAnsi="David" w:cs="David"/>
          <w:sz w:val="24"/>
          <w:szCs w:val="24"/>
          <w:rtl/>
        </w:rPr>
        <w:t>זכו</w:t>
      </w:r>
      <w:r w:rsidR="004C73FC" w:rsidRPr="005F3228">
        <w:rPr>
          <w:rFonts w:ascii="David" w:hAnsi="David" w:cs="David" w:hint="cs"/>
          <w:sz w:val="24"/>
          <w:szCs w:val="24"/>
          <w:rtl/>
        </w:rPr>
        <w:t>יו</w:t>
      </w:r>
      <w:r w:rsidR="00F215A5" w:rsidRPr="005F3228">
        <w:rPr>
          <w:rFonts w:ascii="David" w:hAnsi="David" w:cs="David"/>
          <w:sz w:val="24"/>
          <w:szCs w:val="24"/>
          <w:rtl/>
        </w:rPr>
        <w:t>ת השידור</w:t>
      </w:r>
      <w:r w:rsidRPr="005F3228">
        <w:rPr>
          <w:rFonts w:ascii="David" w:hAnsi="David" w:cs="David" w:hint="cs"/>
          <w:sz w:val="24"/>
          <w:szCs w:val="24"/>
          <w:rtl/>
        </w:rPr>
        <w:t>" במישור האירוע, באופן שי</w:t>
      </w:r>
      <w:r w:rsidR="00DF15CE" w:rsidRPr="005F3228">
        <w:rPr>
          <w:rFonts w:ascii="David" w:hAnsi="David" w:cs="David" w:hint="cs"/>
          <w:sz w:val="24"/>
          <w:szCs w:val="24"/>
          <w:rtl/>
        </w:rPr>
        <w:t>קנה</w:t>
      </w:r>
      <w:r w:rsidR="004C73FC" w:rsidRPr="005F3228">
        <w:rPr>
          <w:rFonts w:ascii="David" w:hAnsi="David" w:cs="David"/>
          <w:sz w:val="24"/>
          <w:szCs w:val="24"/>
          <w:rtl/>
        </w:rPr>
        <w:t xml:space="preserve"> </w:t>
      </w:r>
      <w:r w:rsidR="004C73FC" w:rsidRPr="005F3228">
        <w:rPr>
          <w:rFonts w:ascii="David" w:hAnsi="David" w:cs="David" w:hint="cs"/>
          <w:sz w:val="24"/>
          <w:szCs w:val="24"/>
          <w:rtl/>
        </w:rPr>
        <w:t xml:space="preserve">לגורם המארגן </w:t>
      </w:r>
      <w:r w:rsidR="00F30EB3" w:rsidRPr="005F3228">
        <w:rPr>
          <w:rFonts w:ascii="David" w:hAnsi="David" w:cs="David" w:hint="cs"/>
          <w:sz w:val="24"/>
          <w:szCs w:val="24"/>
          <w:rtl/>
        </w:rPr>
        <w:t>יכולת למנוע מצדדים שלישיים</w:t>
      </w:r>
      <w:r w:rsidR="004C73FC" w:rsidRPr="005F3228">
        <w:rPr>
          <w:rFonts w:ascii="David" w:hAnsi="David" w:cs="David" w:hint="cs"/>
          <w:sz w:val="24"/>
          <w:szCs w:val="24"/>
          <w:rtl/>
        </w:rPr>
        <w:t xml:space="preserve"> </w:t>
      </w:r>
      <w:r w:rsidR="00F30EB3" w:rsidRPr="005F3228">
        <w:rPr>
          <w:rFonts w:ascii="David" w:hAnsi="David" w:cs="David" w:hint="cs"/>
          <w:sz w:val="24"/>
          <w:szCs w:val="24"/>
          <w:rtl/>
        </w:rPr>
        <w:t>לצלם</w:t>
      </w:r>
      <w:r w:rsidR="004C73FC" w:rsidRPr="005F3228">
        <w:rPr>
          <w:rFonts w:ascii="David" w:hAnsi="David" w:cs="David" w:hint="cs"/>
          <w:sz w:val="24"/>
          <w:szCs w:val="24"/>
          <w:rtl/>
        </w:rPr>
        <w:t xml:space="preserve"> את האירוע עצמו ולשדר ממנו</w:t>
      </w:r>
      <w:r w:rsidR="00F30EB3" w:rsidRPr="005F3228">
        <w:rPr>
          <w:rFonts w:ascii="David" w:hAnsi="David" w:cs="David" w:hint="cs"/>
          <w:sz w:val="24"/>
          <w:szCs w:val="24"/>
          <w:rtl/>
        </w:rPr>
        <w:t>. בית המשפט ב</w:t>
      </w:r>
      <w:r w:rsidRPr="005F3228">
        <w:rPr>
          <w:rFonts w:ascii="David" w:hAnsi="David" w:cs="David" w:hint="cs"/>
          <w:sz w:val="24"/>
          <w:szCs w:val="24"/>
          <w:rtl/>
        </w:rPr>
        <w:t xml:space="preserve">יסס הכרה זו על </w:t>
      </w:r>
      <w:r w:rsidR="00F215A5" w:rsidRPr="005F3228">
        <w:rPr>
          <w:rFonts w:ascii="David" w:hAnsi="David" w:cs="David"/>
          <w:sz w:val="24"/>
          <w:szCs w:val="24"/>
          <w:rtl/>
        </w:rPr>
        <w:t xml:space="preserve">דיני עשיית עושר </w:t>
      </w:r>
      <w:r w:rsidRPr="005F3228">
        <w:rPr>
          <w:rFonts w:ascii="David" w:hAnsi="David" w:cs="David" w:hint="cs"/>
          <w:sz w:val="24"/>
          <w:szCs w:val="24"/>
          <w:rtl/>
        </w:rPr>
        <w:t>ולא במשפט.</w:t>
      </w:r>
      <w:r w:rsidRPr="005F3228">
        <w:rPr>
          <w:rStyle w:val="FootnoteReference"/>
          <w:rFonts w:ascii="David" w:hAnsi="David" w:cs="David"/>
          <w:sz w:val="24"/>
          <w:szCs w:val="24"/>
          <w:rtl/>
        </w:rPr>
        <w:footnoteReference w:id="83"/>
      </w:r>
      <w:r w:rsidRPr="005F3228">
        <w:rPr>
          <w:rFonts w:ascii="David" w:hAnsi="David" w:cs="David" w:hint="cs"/>
          <w:sz w:val="24"/>
          <w:szCs w:val="24"/>
          <w:rtl/>
        </w:rPr>
        <w:t xml:space="preserve"> </w:t>
      </w:r>
      <w:r w:rsidR="00F215A5" w:rsidRPr="005F3228">
        <w:rPr>
          <w:rFonts w:ascii="David" w:hAnsi="David" w:cs="David"/>
          <w:sz w:val="24"/>
          <w:szCs w:val="24"/>
          <w:rtl/>
        </w:rPr>
        <w:t xml:space="preserve">באותו מקרה, </w:t>
      </w:r>
      <w:r w:rsidR="00F30EB3" w:rsidRPr="005F3228">
        <w:rPr>
          <w:rFonts w:ascii="David" w:hAnsi="David" w:cs="David" w:hint="cs"/>
          <w:sz w:val="24"/>
          <w:szCs w:val="24"/>
          <w:rtl/>
        </w:rPr>
        <w:t>ה</w:t>
      </w:r>
      <w:r w:rsidR="00F215A5" w:rsidRPr="005F3228">
        <w:rPr>
          <w:rFonts w:ascii="David" w:hAnsi="David" w:cs="David"/>
          <w:sz w:val="24"/>
          <w:szCs w:val="24"/>
          <w:rtl/>
        </w:rPr>
        <w:t xml:space="preserve">התאחדות </w:t>
      </w:r>
      <w:r w:rsidR="00C047F5" w:rsidRPr="005F3228">
        <w:rPr>
          <w:rFonts w:ascii="David" w:hAnsi="David" w:cs="David" w:hint="cs"/>
          <w:sz w:val="24"/>
          <w:szCs w:val="24"/>
          <w:rtl/>
        </w:rPr>
        <w:t>ל</w:t>
      </w:r>
      <w:r w:rsidR="00F215A5" w:rsidRPr="005F3228">
        <w:rPr>
          <w:rFonts w:ascii="David" w:hAnsi="David" w:cs="David"/>
          <w:sz w:val="24"/>
          <w:szCs w:val="24"/>
          <w:rtl/>
        </w:rPr>
        <w:t xml:space="preserve">כדורגל בישראל, אשר </w:t>
      </w:r>
      <w:r w:rsidRPr="005F3228">
        <w:rPr>
          <w:rFonts w:ascii="David" w:hAnsi="David" w:cs="David" w:hint="cs"/>
          <w:sz w:val="24"/>
          <w:szCs w:val="24"/>
          <w:rtl/>
        </w:rPr>
        <w:t>מכרה את "</w:t>
      </w:r>
      <w:r w:rsidR="00F215A5" w:rsidRPr="005F3228">
        <w:rPr>
          <w:rFonts w:ascii="David" w:hAnsi="David" w:cs="David"/>
          <w:sz w:val="24"/>
          <w:szCs w:val="24"/>
          <w:rtl/>
        </w:rPr>
        <w:t>זכויות השידור</w:t>
      </w:r>
      <w:r w:rsidRPr="005F3228">
        <w:rPr>
          <w:rFonts w:ascii="David" w:hAnsi="David" w:cs="David" w:hint="cs"/>
          <w:sz w:val="24"/>
          <w:szCs w:val="24"/>
          <w:rtl/>
        </w:rPr>
        <w:t>"</w:t>
      </w:r>
      <w:r w:rsidR="00F215A5" w:rsidRPr="005F3228">
        <w:rPr>
          <w:rFonts w:ascii="David" w:hAnsi="David" w:cs="David"/>
          <w:sz w:val="24"/>
          <w:szCs w:val="24"/>
          <w:rtl/>
        </w:rPr>
        <w:t xml:space="preserve"> הבלעדי</w:t>
      </w:r>
      <w:r w:rsidRPr="005F3228">
        <w:rPr>
          <w:rFonts w:ascii="David" w:hAnsi="David" w:cs="David" w:hint="cs"/>
          <w:sz w:val="24"/>
          <w:szCs w:val="24"/>
          <w:rtl/>
        </w:rPr>
        <w:t>ות ל</w:t>
      </w:r>
      <w:r w:rsidR="00F30EB3" w:rsidRPr="005F3228">
        <w:rPr>
          <w:rFonts w:ascii="David" w:hAnsi="David" w:cs="David" w:hint="cs"/>
          <w:sz w:val="24"/>
          <w:szCs w:val="24"/>
          <w:rtl/>
        </w:rPr>
        <w:t>משחקי הכדורגל המאורגנים על ידה ל</w:t>
      </w:r>
      <w:r w:rsidR="00F215A5" w:rsidRPr="005F3228">
        <w:rPr>
          <w:rFonts w:ascii="David" w:hAnsi="David" w:cs="David"/>
          <w:sz w:val="24"/>
          <w:szCs w:val="24"/>
          <w:rtl/>
        </w:rPr>
        <w:t>זכיין רדיו אזורי</w:t>
      </w:r>
      <w:r w:rsidR="00F30EB3" w:rsidRPr="005F3228">
        <w:rPr>
          <w:rFonts w:ascii="David" w:hAnsi="David" w:cs="David" w:hint="cs"/>
          <w:sz w:val="24"/>
          <w:szCs w:val="24"/>
          <w:rtl/>
        </w:rPr>
        <w:t>, ביקשה למנוע מרשות השידור לבצע שידור רדיופוני לא מורשה של המשחקים, באמצעות שדרים שהוצבו במגרש</w:t>
      </w:r>
      <w:r w:rsidR="00F215A5" w:rsidRPr="005F3228">
        <w:rPr>
          <w:rFonts w:ascii="David" w:hAnsi="David" w:cs="David"/>
          <w:sz w:val="24"/>
          <w:szCs w:val="24"/>
          <w:rtl/>
        </w:rPr>
        <w:t xml:space="preserve">. בית המשפט עמד על כך </w:t>
      </w:r>
      <w:r w:rsidRPr="005F3228">
        <w:rPr>
          <w:rFonts w:ascii="David" w:hAnsi="David" w:cs="David"/>
          <w:sz w:val="24"/>
          <w:szCs w:val="24"/>
          <w:rtl/>
        </w:rPr>
        <w:t>ש</w:t>
      </w:r>
      <w:r w:rsidRPr="005F3228">
        <w:rPr>
          <w:rFonts w:ascii="David" w:hAnsi="David" w:cs="David" w:hint="cs"/>
          <w:sz w:val="24"/>
          <w:szCs w:val="24"/>
          <w:rtl/>
        </w:rPr>
        <w:t>אירועי</w:t>
      </w:r>
      <w:r w:rsidRPr="005F3228">
        <w:rPr>
          <w:rFonts w:ascii="David" w:hAnsi="David" w:cs="David"/>
          <w:sz w:val="24"/>
          <w:szCs w:val="24"/>
          <w:rtl/>
        </w:rPr>
        <w:t xml:space="preserve"> </w:t>
      </w:r>
      <w:r w:rsidR="00F215A5" w:rsidRPr="005F3228">
        <w:rPr>
          <w:rFonts w:ascii="David" w:hAnsi="David" w:cs="David"/>
          <w:sz w:val="24"/>
          <w:szCs w:val="24"/>
          <w:rtl/>
        </w:rPr>
        <w:t xml:space="preserve">ספורט, כשלעצמם, אינם נושא להגנת זכות יוצרים, אך בהתבסס על עניין </w:t>
      </w:r>
      <w:proofErr w:type="spellStart"/>
      <w:r w:rsidR="00F215A5" w:rsidRPr="005F3228">
        <w:rPr>
          <w:rFonts w:ascii="David" w:hAnsi="David" w:cs="David"/>
          <w:b/>
          <w:bCs/>
          <w:sz w:val="24"/>
          <w:szCs w:val="24"/>
          <w:rtl/>
        </w:rPr>
        <w:t>א.ש.י.ר</w:t>
      </w:r>
      <w:proofErr w:type="spellEnd"/>
      <w:r w:rsidR="00F215A5" w:rsidRPr="005F3228">
        <w:rPr>
          <w:rFonts w:ascii="David" w:hAnsi="David" w:cs="David"/>
          <w:sz w:val="24"/>
          <w:szCs w:val="24"/>
          <w:rtl/>
        </w:rPr>
        <w:t>., קבע כי אין מניעה להגן על "קניין רוחני שמחוץ למסגרת חוקי הקניין הרוחני בנסיבות המצדיקות הגנה לפי חוק עשיית עושר ולא במשפט</w:t>
      </w:r>
      <w:r w:rsidRPr="005F3228">
        <w:rPr>
          <w:rFonts w:ascii="David" w:hAnsi="David" w:cs="David"/>
          <w:sz w:val="24"/>
          <w:szCs w:val="24"/>
          <w:rtl/>
        </w:rPr>
        <w:t>"</w:t>
      </w:r>
      <w:r w:rsidRPr="005F3228">
        <w:rPr>
          <w:rFonts w:ascii="David" w:hAnsi="David" w:cs="David" w:hint="cs"/>
          <w:sz w:val="24"/>
          <w:szCs w:val="24"/>
          <w:rtl/>
        </w:rPr>
        <w:t xml:space="preserve">, וכי </w:t>
      </w:r>
      <w:r w:rsidRPr="005F3228">
        <w:rPr>
          <w:rFonts w:ascii="David" w:hAnsi="David" w:cs="David" w:hint="cs"/>
          <w:b/>
          <w:bCs/>
          <w:sz w:val="24"/>
          <w:szCs w:val="24"/>
          <w:rtl/>
        </w:rPr>
        <w:t>"</w:t>
      </w:r>
      <w:r w:rsidR="004B5E57" w:rsidRPr="005F3228">
        <w:rPr>
          <w:rFonts w:ascii="David" w:hAnsi="David" w:cs="David" w:hint="eastAsia"/>
          <w:sz w:val="24"/>
          <w:szCs w:val="24"/>
          <w:rtl/>
        </w:rPr>
        <w:t>שידור</w:t>
      </w:r>
      <w:r w:rsidR="004B5E57" w:rsidRPr="005F3228">
        <w:rPr>
          <w:rFonts w:ascii="David" w:hAnsi="David" w:cs="David"/>
          <w:sz w:val="24"/>
          <w:szCs w:val="24"/>
          <w:rtl/>
        </w:rPr>
        <w:t xml:space="preserve"> </w:t>
      </w:r>
      <w:r w:rsidR="004B5E57" w:rsidRPr="005F3228">
        <w:rPr>
          <w:rFonts w:ascii="David" w:hAnsi="David" w:cs="David" w:hint="eastAsia"/>
          <w:sz w:val="24"/>
          <w:szCs w:val="24"/>
          <w:rtl/>
        </w:rPr>
        <w:t>משחק</w:t>
      </w:r>
      <w:r w:rsidR="004B5E57" w:rsidRPr="005F3228">
        <w:rPr>
          <w:rFonts w:ascii="David" w:hAnsi="David" w:cs="David"/>
          <w:sz w:val="24"/>
          <w:szCs w:val="24"/>
          <w:rtl/>
        </w:rPr>
        <w:t xml:space="preserve"> </w:t>
      </w:r>
      <w:r w:rsidR="004B5E57" w:rsidRPr="005F3228">
        <w:rPr>
          <w:rFonts w:ascii="David" w:hAnsi="David" w:cs="David" w:hint="eastAsia"/>
          <w:sz w:val="24"/>
          <w:szCs w:val="24"/>
          <w:rtl/>
        </w:rPr>
        <w:t>ספורט</w:t>
      </w:r>
      <w:r w:rsidR="004B5E57" w:rsidRPr="005F3228">
        <w:rPr>
          <w:rFonts w:ascii="David" w:hAnsi="David" w:cs="David"/>
          <w:sz w:val="24"/>
          <w:szCs w:val="24"/>
          <w:rtl/>
        </w:rPr>
        <w:t xml:space="preserve"> </w:t>
      </w:r>
      <w:r w:rsidR="004B5E57" w:rsidRPr="005F3228">
        <w:rPr>
          <w:rFonts w:ascii="David" w:hAnsi="David" w:cs="David" w:hint="eastAsia"/>
          <w:sz w:val="24"/>
          <w:szCs w:val="24"/>
          <w:rtl/>
        </w:rPr>
        <w:t>בזמן</w:t>
      </w:r>
      <w:r w:rsidR="004B5E57" w:rsidRPr="005F3228">
        <w:rPr>
          <w:rFonts w:ascii="David" w:hAnsi="David" w:cs="David"/>
          <w:sz w:val="24"/>
          <w:szCs w:val="24"/>
          <w:rtl/>
        </w:rPr>
        <w:t xml:space="preserve"> </w:t>
      </w:r>
      <w:r w:rsidR="004B5E57" w:rsidRPr="005F3228">
        <w:rPr>
          <w:rFonts w:ascii="David" w:hAnsi="David" w:cs="David" w:hint="eastAsia"/>
          <w:sz w:val="24"/>
          <w:szCs w:val="24"/>
          <w:rtl/>
        </w:rPr>
        <w:t>אמת</w:t>
      </w:r>
      <w:r w:rsidR="004B5E57" w:rsidRPr="005F3228">
        <w:rPr>
          <w:rFonts w:ascii="David" w:hAnsi="David" w:cs="David"/>
          <w:sz w:val="24"/>
          <w:szCs w:val="24"/>
          <w:rtl/>
        </w:rPr>
        <w:t xml:space="preserve"> </w:t>
      </w:r>
      <w:r w:rsidR="004B5E57" w:rsidRPr="005F3228">
        <w:rPr>
          <w:rFonts w:ascii="David" w:hAnsi="David" w:cs="David" w:hint="eastAsia"/>
          <w:sz w:val="24"/>
          <w:szCs w:val="24"/>
          <w:rtl/>
        </w:rPr>
        <w:t>ראוי</w:t>
      </w:r>
      <w:r w:rsidR="004B5E57" w:rsidRPr="005F3228">
        <w:rPr>
          <w:rFonts w:ascii="David" w:hAnsi="David" w:cs="David"/>
          <w:sz w:val="24"/>
          <w:szCs w:val="24"/>
          <w:rtl/>
        </w:rPr>
        <w:t xml:space="preserve"> </w:t>
      </w:r>
      <w:r w:rsidR="004B5E57" w:rsidRPr="005F3228">
        <w:rPr>
          <w:rFonts w:ascii="David" w:hAnsi="David" w:cs="David" w:hint="eastAsia"/>
          <w:sz w:val="24"/>
          <w:szCs w:val="24"/>
          <w:rtl/>
        </w:rPr>
        <w:t>להיחשב</w:t>
      </w:r>
      <w:r w:rsidR="004B5E57" w:rsidRPr="005F3228">
        <w:rPr>
          <w:rFonts w:ascii="David" w:hAnsi="David" w:cs="David"/>
          <w:sz w:val="24"/>
          <w:szCs w:val="24"/>
          <w:rtl/>
        </w:rPr>
        <w:t xml:space="preserve"> </w:t>
      </w:r>
      <w:r w:rsidR="004B5E57" w:rsidRPr="005F3228">
        <w:rPr>
          <w:rFonts w:ascii="David" w:hAnsi="David" w:cs="David" w:hint="eastAsia"/>
          <w:sz w:val="24"/>
          <w:szCs w:val="24"/>
          <w:rtl/>
        </w:rPr>
        <w:t>קניינו</w:t>
      </w:r>
      <w:r w:rsidR="004B5E57" w:rsidRPr="005F3228">
        <w:rPr>
          <w:rFonts w:ascii="David" w:hAnsi="David" w:cs="David"/>
          <w:sz w:val="24"/>
          <w:szCs w:val="24"/>
          <w:rtl/>
        </w:rPr>
        <w:t xml:space="preserve"> </w:t>
      </w:r>
      <w:r w:rsidR="004B5E57" w:rsidRPr="005F3228">
        <w:rPr>
          <w:rFonts w:ascii="David" w:hAnsi="David" w:cs="David" w:hint="eastAsia"/>
          <w:sz w:val="24"/>
          <w:szCs w:val="24"/>
          <w:rtl/>
        </w:rPr>
        <w:t>הרוחני</w:t>
      </w:r>
      <w:r w:rsidR="004B5E57" w:rsidRPr="005F3228">
        <w:rPr>
          <w:rFonts w:ascii="David" w:hAnsi="David" w:cs="David"/>
          <w:sz w:val="24"/>
          <w:szCs w:val="24"/>
          <w:rtl/>
        </w:rPr>
        <w:t xml:space="preserve"> </w:t>
      </w:r>
      <w:r w:rsidR="004B5E57" w:rsidRPr="005F3228">
        <w:rPr>
          <w:rFonts w:ascii="David" w:hAnsi="David" w:cs="David" w:hint="eastAsia"/>
          <w:sz w:val="24"/>
          <w:szCs w:val="24"/>
          <w:rtl/>
        </w:rPr>
        <w:t>של</w:t>
      </w:r>
      <w:r w:rsidR="004B5E57" w:rsidRPr="005F3228">
        <w:rPr>
          <w:rFonts w:ascii="David" w:hAnsi="David" w:cs="David"/>
          <w:sz w:val="24"/>
          <w:szCs w:val="24"/>
          <w:rtl/>
        </w:rPr>
        <w:t xml:space="preserve"> </w:t>
      </w:r>
      <w:r w:rsidR="004B5E57" w:rsidRPr="005F3228">
        <w:rPr>
          <w:rFonts w:ascii="David" w:hAnsi="David" w:cs="David" w:hint="eastAsia"/>
          <w:sz w:val="24"/>
          <w:szCs w:val="24"/>
          <w:rtl/>
        </w:rPr>
        <w:t>הגוף</w:t>
      </w:r>
      <w:r w:rsidR="004B5E57" w:rsidRPr="005F3228">
        <w:rPr>
          <w:rFonts w:ascii="David" w:hAnsi="David" w:cs="David"/>
          <w:sz w:val="24"/>
          <w:szCs w:val="24"/>
          <w:rtl/>
        </w:rPr>
        <w:t xml:space="preserve"> </w:t>
      </w:r>
      <w:r w:rsidR="004B5E57" w:rsidRPr="005F3228">
        <w:rPr>
          <w:rFonts w:ascii="David" w:hAnsi="David" w:cs="David" w:hint="eastAsia"/>
          <w:sz w:val="24"/>
          <w:szCs w:val="24"/>
          <w:rtl/>
        </w:rPr>
        <w:t>המארגן</w:t>
      </w:r>
      <w:r w:rsidR="004B5E57" w:rsidRPr="005F3228">
        <w:rPr>
          <w:rFonts w:ascii="David" w:hAnsi="David" w:cs="David"/>
          <w:sz w:val="24"/>
          <w:szCs w:val="24"/>
          <w:rtl/>
        </w:rPr>
        <w:t xml:space="preserve"> </w:t>
      </w:r>
      <w:r w:rsidR="004B5E57" w:rsidRPr="005F3228">
        <w:rPr>
          <w:rFonts w:ascii="David" w:hAnsi="David" w:cs="David" w:hint="eastAsia"/>
          <w:sz w:val="24"/>
          <w:szCs w:val="24"/>
          <w:rtl/>
        </w:rPr>
        <w:t>את</w:t>
      </w:r>
      <w:r w:rsidR="004B5E57" w:rsidRPr="005F3228">
        <w:rPr>
          <w:rFonts w:ascii="David" w:hAnsi="David" w:cs="David"/>
          <w:sz w:val="24"/>
          <w:szCs w:val="24"/>
          <w:rtl/>
        </w:rPr>
        <w:t xml:space="preserve"> </w:t>
      </w:r>
      <w:r w:rsidR="004B5E57" w:rsidRPr="005F3228">
        <w:rPr>
          <w:rFonts w:ascii="David" w:hAnsi="David" w:cs="David" w:hint="eastAsia"/>
          <w:sz w:val="24"/>
          <w:szCs w:val="24"/>
          <w:rtl/>
        </w:rPr>
        <w:t>המשחק</w:t>
      </w:r>
      <w:r w:rsidR="004B5E57" w:rsidRPr="005F3228">
        <w:rPr>
          <w:rFonts w:ascii="David" w:hAnsi="David" w:cs="David"/>
          <w:sz w:val="24"/>
          <w:szCs w:val="24"/>
          <w:rtl/>
        </w:rPr>
        <w:t>"</w:t>
      </w:r>
      <w:r w:rsidRPr="005F3228">
        <w:rPr>
          <w:rFonts w:ascii="David" w:hAnsi="David" w:cs="David" w:hint="cs"/>
          <w:sz w:val="24"/>
          <w:szCs w:val="24"/>
          <w:rtl/>
        </w:rPr>
        <w:t>.</w:t>
      </w:r>
      <w:r w:rsidRPr="005F3228">
        <w:rPr>
          <w:rStyle w:val="FootnoteReference"/>
          <w:rFonts w:ascii="David" w:hAnsi="David" w:cs="David"/>
          <w:sz w:val="24"/>
          <w:szCs w:val="24"/>
          <w:rtl/>
        </w:rPr>
        <w:footnoteReference w:id="84"/>
      </w:r>
      <w:r w:rsidR="0065626D" w:rsidRPr="005F3228">
        <w:rPr>
          <w:rFonts w:ascii="David" w:hAnsi="David" w:cs="David" w:hint="cs"/>
          <w:sz w:val="24"/>
          <w:szCs w:val="24"/>
          <w:rtl/>
        </w:rPr>
        <w:t xml:space="preserve"> יצוין בהקשר </w:t>
      </w:r>
      <w:r w:rsidR="004B5E57" w:rsidRPr="005F3228">
        <w:rPr>
          <w:rFonts w:ascii="David" w:hAnsi="David" w:cs="David" w:hint="cs"/>
          <w:sz w:val="24"/>
          <w:szCs w:val="24"/>
          <w:rtl/>
        </w:rPr>
        <w:t xml:space="preserve">זה, כי </w:t>
      </w:r>
      <w:r w:rsidR="00BB6EB5" w:rsidRPr="005F3228">
        <w:rPr>
          <w:rFonts w:ascii="David" w:hAnsi="David" w:cs="David" w:hint="cs"/>
          <w:sz w:val="24"/>
          <w:szCs w:val="24"/>
          <w:rtl/>
        </w:rPr>
        <w:t>הכרה</w:t>
      </w:r>
      <w:r w:rsidR="004B5E57" w:rsidRPr="005F3228">
        <w:rPr>
          <w:rFonts w:ascii="David" w:hAnsi="David" w:cs="David" w:hint="cs"/>
          <w:sz w:val="24"/>
          <w:szCs w:val="24"/>
          <w:rtl/>
        </w:rPr>
        <w:t xml:space="preserve"> </w:t>
      </w:r>
      <w:r w:rsidR="00BB6EB5" w:rsidRPr="005F3228">
        <w:rPr>
          <w:rFonts w:ascii="David" w:hAnsi="David" w:cs="David" w:hint="cs"/>
          <w:sz w:val="24"/>
          <w:szCs w:val="24"/>
          <w:rtl/>
        </w:rPr>
        <w:t xml:space="preserve">בזכויות </w:t>
      </w:r>
      <w:r w:rsidR="00C152B1" w:rsidRPr="005F3228">
        <w:rPr>
          <w:rFonts w:ascii="David" w:hAnsi="David" w:cs="David" w:hint="cs"/>
          <w:sz w:val="24"/>
          <w:szCs w:val="24"/>
          <w:rtl/>
        </w:rPr>
        <w:t xml:space="preserve">שידור באירועי ספורט </w:t>
      </w:r>
      <w:r w:rsidR="00BB6EB5" w:rsidRPr="005F3228">
        <w:rPr>
          <w:rFonts w:ascii="David" w:hAnsi="David" w:cs="David" w:hint="cs"/>
          <w:sz w:val="24"/>
          <w:szCs w:val="24"/>
          <w:rtl/>
        </w:rPr>
        <w:t>קיימת</w:t>
      </w:r>
      <w:r w:rsidR="004B5E57" w:rsidRPr="005F3228">
        <w:rPr>
          <w:rFonts w:ascii="David" w:hAnsi="David" w:cs="David" w:hint="cs"/>
          <w:sz w:val="24"/>
          <w:szCs w:val="24"/>
          <w:rtl/>
        </w:rPr>
        <w:t xml:space="preserve"> </w:t>
      </w:r>
      <w:r w:rsidR="004B5E57" w:rsidRPr="005F3228">
        <w:rPr>
          <w:rFonts w:ascii="David" w:hAnsi="David" w:cs="David" w:hint="cs"/>
          <w:sz w:val="24"/>
          <w:szCs w:val="24"/>
          <w:rtl/>
        </w:rPr>
        <w:lastRenderedPageBreak/>
        <w:t>גם בשיטות משפט אחרות.</w:t>
      </w:r>
      <w:r w:rsidR="004B5E57" w:rsidRPr="005F3228">
        <w:rPr>
          <w:rStyle w:val="FootnoteReference"/>
          <w:rFonts w:ascii="David" w:hAnsi="David" w:cs="David"/>
          <w:sz w:val="24"/>
          <w:szCs w:val="24"/>
          <w:rtl/>
        </w:rPr>
        <w:footnoteReference w:id="85"/>
      </w:r>
      <w:r w:rsidR="004B5E57" w:rsidRPr="005F3228">
        <w:rPr>
          <w:rFonts w:ascii="David" w:hAnsi="David" w:cs="David" w:hint="cs"/>
          <w:sz w:val="24"/>
          <w:szCs w:val="24"/>
          <w:rtl/>
        </w:rPr>
        <w:t xml:space="preserve"> </w:t>
      </w:r>
      <w:r w:rsidR="00BB6EB5" w:rsidRPr="005F3228">
        <w:rPr>
          <w:rFonts w:ascii="David" w:hAnsi="David" w:cs="David" w:hint="cs"/>
          <w:sz w:val="24"/>
          <w:szCs w:val="24"/>
          <w:rtl/>
        </w:rPr>
        <w:t xml:space="preserve">אף בפרשיה זו הדגיש בית המשפט את ההשקעה הרבה בארגון המשחקים וראה בה בסיס לזכות </w:t>
      </w:r>
      <w:r w:rsidR="00BB6EB5" w:rsidRPr="005F3228">
        <w:rPr>
          <w:rFonts w:ascii="David" w:hAnsi="David" w:cs="David" w:hint="eastAsia"/>
          <w:sz w:val="24"/>
          <w:szCs w:val="24"/>
          <w:rtl/>
        </w:rPr>
        <w:t>בלעדית</w:t>
      </w:r>
      <w:r w:rsidR="00BB6EB5" w:rsidRPr="005F3228">
        <w:rPr>
          <w:rFonts w:ascii="David" w:hAnsi="David" w:cs="David"/>
          <w:sz w:val="24"/>
          <w:szCs w:val="24"/>
          <w:rtl/>
        </w:rPr>
        <w:t xml:space="preserve"> </w:t>
      </w:r>
      <w:r w:rsidR="00BB6EB5" w:rsidRPr="005F3228">
        <w:rPr>
          <w:rFonts w:ascii="David" w:hAnsi="David" w:cs="David" w:hint="eastAsia"/>
          <w:sz w:val="24"/>
          <w:szCs w:val="24"/>
          <w:rtl/>
        </w:rPr>
        <w:t>שתאפשר</w:t>
      </w:r>
      <w:r w:rsidR="00BB6EB5" w:rsidRPr="005F3228">
        <w:rPr>
          <w:rFonts w:ascii="David" w:hAnsi="David" w:cs="David"/>
          <w:sz w:val="24"/>
          <w:szCs w:val="24"/>
          <w:rtl/>
        </w:rPr>
        <w:t xml:space="preserve"> </w:t>
      </w:r>
      <w:r w:rsidR="00BB6EB5" w:rsidRPr="005F3228">
        <w:rPr>
          <w:rFonts w:ascii="David" w:hAnsi="David" w:cs="David" w:hint="eastAsia"/>
          <w:sz w:val="24"/>
          <w:szCs w:val="24"/>
          <w:rtl/>
        </w:rPr>
        <w:t>למארגן</w:t>
      </w:r>
      <w:r w:rsidR="00BB6EB5" w:rsidRPr="005F3228">
        <w:rPr>
          <w:rFonts w:ascii="David" w:hAnsi="David" w:cs="David"/>
          <w:sz w:val="24"/>
          <w:szCs w:val="24"/>
          <w:rtl/>
        </w:rPr>
        <w:t xml:space="preserve"> </w:t>
      </w:r>
      <w:r w:rsidR="00BB6EB5" w:rsidRPr="005F3228">
        <w:rPr>
          <w:rFonts w:ascii="David" w:hAnsi="David" w:cs="David" w:hint="eastAsia"/>
          <w:sz w:val="24"/>
          <w:szCs w:val="24"/>
          <w:rtl/>
        </w:rPr>
        <w:t>להפיק</w:t>
      </w:r>
      <w:r w:rsidR="00BB6EB5" w:rsidRPr="005F3228">
        <w:rPr>
          <w:rFonts w:ascii="David" w:hAnsi="David" w:cs="David"/>
          <w:sz w:val="24"/>
          <w:szCs w:val="24"/>
          <w:rtl/>
        </w:rPr>
        <w:t xml:space="preserve"> </w:t>
      </w:r>
      <w:r w:rsidR="00BB6EB5" w:rsidRPr="005F3228">
        <w:rPr>
          <w:rFonts w:ascii="David" w:hAnsi="David" w:cs="David" w:hint="eastAsia"/>
          <w:sz w:val="24"/>
          <w:szCs w:val="24"/>
          <w:rtl/>
        </w:rPr>
        <w:t>תועלת</w:t>
      </w:r>
      <w:r w:rsidR="00BB6EB5" w:rsidRPr="005F3228">
        <w:rPr>
          <w:rFonts w:ascii="David" w:hAnsi="David" w:cs="David"/>
          <w:sz w:val="24"/>
          <w:szCs w:val="24"/>
          <w:rtl/>
        </w:rPr>
        <w:t xml:space="preserve"> </w:t>
      </w:r>
      <w:r w:rsidR="00BB6EB5" w:rsidRPr="005F3228">
        <w:rPr>
          <w:rFonts w:ascii="David" w:hAnsi="David" w:cs="David" w:hint="eastAsia"/>
          <w:sz w:val="24"/>
          <w:szCs w:val="24"/>
          <w:rtl/>
        </w:rPr>
        <w:t>כלכלית</w:t>
      </w:r>
      <w:r w:rsidR="00BB6EB5" w:rsidRPr="005F3228">
        <w:rPr>
          <w:rFonts w:ascii="David" w:hAnsi="David" w:cs="David"/>
          <w:sz w:val="24"/>
          <w:szCs w:val="24"/>
          <w:rtl/>
        </w:rPr>
        <w:t>.</w:t>
      </w:r>
      <w:r w:rsidR="00C152B1" w:rsidRPr="005F3228">
        <w:rPr>
          <w:rStyle w:val="FootnoteReference"/>
          <w:rFonts w:ascii="David" w:hAnsi="David" w:cs="David"/>
          <w:sz w:val="24"/>
          <w:szCs w:val="24"/>
          <w:rtl/>
        </w:rPr>
        <w:footnoteReference w:id="86"/>
      </w:r>
      <w:r w:rsidR="00BB6EB5" w:rsidRPr="005F3228">
        <w:rPr>
          <w:rFonts w:ascii="David" w:hAnsi="David" w:cs="David" w:hint="cs"/>
          <w:sz w:val="24"/>
          <w:rtl/>
        </w:rPr>
        <w:t xml:space="preserve"> </w:t>
      </w:r>
      <w:r w:rsidR="004B5E57" w:rsidRPr="005F3228">
        <w:rPr>
          <w:rFonts w:ascii="David" w:hAnsi="David" w:cs="David"/>
          <w:sz w:val="24"/>
          <w:rtl/>
        </w:rPr>
        <w:t xml:space="preserve"> </w:t>
      </w:r>
    </w:p>
    <w:p w14:paraId="48D6EA31" w14:textId="0DE69AE4" w:rsidR="00F215A5" w:rsidRPr="005F3228" w:rsidRDefault="00564AB3" w:rsidP="0045682F">
      <w:pPr>
        <w:spacing w:line="300" w:lineRule="exact"/>
        <w:jc w:val="both"/>
        <w:rPr>
          <w:rFonts w:ascii="David" w:hAnsi="David" w:cs="David"/>
          <w:sz w:val="24"/>
          <w:szCs w:val="24"/>
        </w:rPr>
      </w:pPr>
      <w:r w:rsidRPr="005F3228">
        <w:rPr>
          <w:rFonts w:ascii="David" w:hAnsi="David" w:cs="David"/>
          <w:sz w:val="24"/>
          <w:szCs w:val="24"/>
          <w:rtl/>
        </w:rPr>
        <w:t xml:space="preserve">בשני ההקשרים האמורים </w:t>
      </w:r>
      <w:r w:rsidR="00F215A5" w:rsidRPr="005F3228">
        <w:rPr>
          <w:rFonts w:ascii="David" w:hAnsi="David" w:cs="David"/>
          <w:sz w:val="24"/>
          <w:szCs w:val="24"/>
          <w:rtl/>
        </w:rPr>
        <w:t xml:space="preserve">השימוש בהלכת </w:t>
      </w:r>
      <w:proofErr w:type="spellStart"/>
      <w:r w:rsidR="00F215A5" w:rsidRPr="005F3228">
        <w:rPr>
          <w:rFonts w:ascii="David" w:hAnsi="David" w:cs="David"/>
          <w:b/>
          <w:bCs/>
          <w:sz w:val="24"/>
          <w:szCs w:val="24"/>
          <w:rtl/>
        </w:rPr>
        <w:t>א.ש.י.ר</w:t>
      </w:r>
      <w:proofErr w:type="spellEnd"/>
      <w:r w:rsidR="00F215A5" w:rsidRPr="005F3228">
        <w:rPr>
          <w:rFonts w:ascii="David" w:hAnsi="David" w:cs="David"/>
          <w:b/>
          <w:bCs/>
          <w:sz w:val="24"/>
          <w:szCs w:val="24"/>
          <w:rtl/>
        </w:rPr>
        <w:t>.</w:t>
      </w:r>
      <w:r w:rsidR="00F215A5" w:rsidRPr="005F3228">
        <w:rPr>
          <w:rFonts w:ascii="David" w:hAnsi="David" w:cs="David"/>
          <w:sz w:val="24"/>
          <w:szCs w:val="24"/>
          <w:rtl/>
        </w:rPr>
        <w:t xml:space="preserve"> ובדיני עשיית עושר נעשה על-מנת להכיר הלכה למעשה בזכויות "מעין-קניין רוחני" חדשות, ולמלא חלל שהיה קיים בהגנה על אינטרסים כלכליים משמעותיים. </w:t>
      </w:r>
      <w:r w:rsidR="00F93A5C" w:rsidRPr="005F3228">
        <w:rPr>
          <w:rFonts w:ascii="David" w:hAnsi="David" w:cs="David" w:hint="cs"/>
          <w:sz w:val="24"/>
          <w:szCs w:val="24"/>
          <w:rtl/>
        </w:rPr>
        <w:t>אמנם</w:t>
      </w:r>
      <w:r w:rsidR="00F215A5" w:rsidRPr="005F3228">
        <w:rPr>
          <w:rFonts w:ascii="David" w:hAnsi="David" w:cs="David"/>
          <w:sz w:val="24"/>
          <w:szCs w:val="24"/>
          <w:rtl/>
        </w:rPr>
        <w:t xml:space="preserve">, </w:t>
      </w:r>
      <w:r w:rsidR="002A02B4" w:rsidRPr="005F3228">
        <w:rPr>
          <w:rFonts w:ascii="David" w:hAnsi="David" w:cs="David" w:hint="cs"/>
          <w:sz w:val="24"/>
          <w:szCs w:val="24"/>
          <w:rtl/>
        </w:rPr>
        <w:t xml:space="preserve">לכאורה </w:t>
      </w:r>
      <w:r w:rsidR="00EA3FC1" w:rsidRPr="005F3228">
        <w:rPr>
          <w:rFonts w:ascii="David" w:hAnsi="David" w:cs="David" w:hint="cs"/>
          <w:sz w:val="24"/>
          <w:szCs w:val="24"/>
          <w:rtl/>
        </w:rPr>
        <w:t xml:space="preserve">עדיף </w:t>
      </w:r>
      <w:r w:rsidR="00F215A5" w:rsidRPr="005F3228">
        <w:rPr>
          <w:rFonts w:ascii="David" w:hAnsi="David" w:cs="David"/>
          <w:sz w:val="24"/>
          <w:szCs w:val="24"/>
          <w:rtl/>
        </w:rPr>
        <w:t>שהמחוקק יקבע הסדר מפורש להגנה על זכויות אלה.</w:t>
      </w:r>
      <w:r w:rsidR="002A02B4" w:rsidRPr="005F3228">
        <w:rPr>
          <w:rStyle w:val="FootnoteReference"/>
          <w:rFonts w:ascii="David" w:hAnsi="David" w:cs="David"/>
          <w:sz w:val="24"/>
          <w:szCs w:val="24"/>
          <w:rtl/>
        </w:rPr>
        <w:t xml:space="preserve"> </w:t>
      </w:r>
      <w:r w:rsidR="002A02B4" w:rsidRPr="005F3228">
        <w:rPr>
          <w:rStyle w:val="FootnoteReference"/>
          <w:rFonts w:ascii="David" w:hAnsi="David" w:cs="David"/>
          <w:sz w:val="24"/>
          <w:szCs w:val="24"/>
          <w:rtl/>
        </w:rPr>
        <w:footnoteReference w:id="87"/>
      </w:r>
      <w:r w:rsidR="00F215A5" w:rsidRPr="005F3228">
        <w:rPr>
          <w:rFonts w:ascii="David" w:hAnsi="David" w:cs="David"/>
          <w:sz w:val="24"/>
          <w:szCs w:val="24"/>
          <w:rtl/>
        </w:rPr>
        <w:t xml:space="preserve"> במסגרת חקיקה מעין זו ניתן לקבוע הסדרים מפורטים ושקולים ביחס לשאלות שונות שהמסגרת המשפטית של דיני עשיית עושר אינה נותנת להם מענה. כך, למשל, חקיקה ייעודית תתייחס</w:t>
      </w:r>
      <w:r w:rsidR="002A02B4" w:rsidRPr="005F3228">
        <w:rPr>
          <w:rFonts w:ascii="David" w:hAnsi="David" w:cs="David" w:hint="cs"/>
          <w:sz w:val="24"/>
          <w:szCs w:val="24"/>
          <w:rtl/>
        </w:rPr>
        <w:t xml:space="preserve"> במפורש</w:t>
      </w:r>
      <w:r w:rsidR="00F215A5" w:rsidRPr="005F3228">
        <w:rPr>
          <w:rFonts w:ascii="David" w:hAnsi="David" w:cs="David"/>
          <w:sz w:val="24"/>
          <w:szCs w:val="24"/>
          <w:rtl/>
        </w:rPr>
        <w:t xml:space="preserve"> </w:t>
      </w:r>
      <w:r w:rsidR="002A02B4" w:rsidRPr="005F3228">
        <w:rPr>
          <w:rFonts w:ascii="David" w:hAnsi="David" w:cs="David" w:hint="cs"/>
          <w:sz w:val="24"/>
          <w:szCs w:val="24"/>
          <w:rtl/>
        </w:rPr>
        <w:t xml:space="preserve">לשאלת התנאים להגנה על הזכות, </w:t>
      </w:r>
      <w:r w:rsidR="00F215A5" w:rsidRPr="005F3228">
        <w:rPr>
          <w:rFonts w:ascii="David" w:hAnsi="David" w:cs="David"/>
          <w:sz w:val="24"/>
          <w:szCs w:val="24"/>
          <w:rtl/>
        </w:rPr>
        <w:t xml:space="preserve">משך תוקפה של ההגנה, </w:t>
      </w:r>
      <w:r w:rsidR="002A02B4" w:rsidRPr="005F3228">
        <w:rPr>
          <w:rFonts w:ascii="David" w:hAnsi="David" w:cs="David" w:hint="cs"/>
          <w:sz w:val="24"/>
          <w:szCs w:val="24"/>
          <w:rtl/>
        </w:rPr>
        <w:t>היקפה, ה</w:t>
      </w:r>
      <w:r w:rsidR="00791BFD" w:rsidRPr="005F3228">
        <w:rPr>
          <w:rFonts w:ascii="David" w:hAnsi="David" w:cs="David" w:hint="cs"/>
          <w:sz w:val="24"/>
          <w:szCs w:val="24"/>
          <w:rtl/>
        </w:rPr>
        <w:t xml:space="preserve">חריגים </w:t>
      </w:r>
      <w:r w:rsidR="002A02B4" w:rsidRPr="005F3228">
        <w:rPr>
          <w:rFonts w:ascii="David" w:hAnsi="David" w:cs="David" w:hint="cs"/>
          <w:sz w:val="24"/>
          <w:szCs w:val="24"/>
          <w:rtl/>
        </w:rPr>
        <w:t xml:space="preserve">לה, </w:t>
      </w:r>
      <w:r w:rsidR="00F215A5" w:rsidRPr="005F3228">
        <w:rPr>
          <w:rFonts w:ascii="David" w:hAnsi="David" w:cs="David"/>
          <w:sz w:val="24"/>
          <w:szCs w:val="24"/>
          <w:rtl/>
        </w:rPr>
        <w:t xml:space="preserve">וכיוצא באלה. </w:t>
      </w:r>
      <w:r w:rsidR="00EA3FC1" w:rsidRPr="005F3228">
        <w:rPr>
          <w:rFonts w:ascii="David" w:hAnsi="David" w:cs="David" w:hint="cs"/>
          <w:sz w:val="24"/>
          <w:szCs w:val="24"/>
          <w:rtl/>
        </w:rPr>
        <w:t>אולם</w:t>
      </w:r>
      <w:r w:rsidR="00F215A5" w:rsidRPr="005F3228">
        <w:rPr>
          <w:rFonts w:ascii="David" w:hAnsi="David" w:cs="David"/>
          <w:sz w:val="24"/>
          <w:szCs w:val="24"/>
          <w:rtl/>
        </w:rPr>
        <w:t xml:space="preserve">, אף אם ניתן לגרוס שבאופן אופטימלי ראוי שהחסר בהסדר משפטי בהקשרים אלה יתמלא על ידי המחוקק, </w:t>
      </w:r>
      <w:r w:rsidR="0045682F" w:rsidRPr="005F3228">
        <w:rPr>
          <w:rFonts w:ascii="David" w:hAnsi="David" w:cs="David" w:hint="cs"/>
          <w:sz w:val="24"/>
          <w:szCs w:val="24"/>
          <w:rtl/>
        </w:rPr>
        <w:t>אין מקום, לעמדתנו,</w:t>
      </w:r>
      <w:r w:rsidR="0045682F" w:rsidRPr="005F3228">
        <w:rPr>
          <w:rFonts w:ascii="David" w:hAnsi="David" w:cs="David"/>
          <w:sz w:val="24"/>
          <w:szCs w:val="24"/>
          <w:rtl/>
        </w:rPr>
        <w:t xml:space="preserve"> </w:t>
      </w:r>
      <w:r w:rsidR="00F215A5" w:rsidRPr="005F3228">
        <w:rPr>
          <w:rFonts w:ascii="David" w:hAnsi="David" w:cs="David"/>
          <w:sz w:val="24"/>
          <w:szCs w:val="24"/>
          <w:rtl/>
        </w:rPr>
        <w:t xml:space="preserve">לראות בפסקי הדין האמורים </w:t>
      </w:r>
      <w:r w:rsidR="00AC75C6" w:rsidRPr="005F3228">
        <w:rPr>
          <w:rFonts w:ascii="David" w:hAnsi="David" w:cs="David" w:hint="cs"/>
          <w:sz w:val="24"/>
          <w:szCs w:val="24"/>
          <w:rtl/>
        </w:rPr>
        <w:t>פריצת גבולות</w:t>
      </w:r>
      <w:r w:rsidR="0045682F" w:rsidRPr="005F3228">
        <w:rPr>
          <w:rFonts w:ascii="David" w:hAnsi="David" w:cs="David" w:hint="cs"/>
          <w:sz w:val="24"/>
          <w:szCs w:val="24"/>
          <w:rtl/>
        </w:rPr>
        <w:t xml:space="preserve"> בלתי מוצדקת</w:t>
      </w:r>
      <w:r w:rsidR="00AC75C6" w:rsidRPr="005F3228">
        <w:rPr>
          <w:rFonts w:ascii="David" w:hAnsi="David" w:cs="David" w:hint="cs"/>
          <w:sz w:val="24"/>
          <w:szCs w:val="24"/>
          <w:rtl/>
        </w:rPr>
        <w:t xml:space="preserve"> של</w:t>
      </w:r>
      <w:r w:rsidR="00F215A5" w:rsidRPr="005F3228">
        <w:rPr>
          <w:rFonts w:ascii="David" w:hAnsi="David" w:cs="David"/>
          <w:sz w:val="24"/>
          <w:szCs w:val="24"/>
          <w:rtl/>
        </w:rPr>
        <w:t xml:space="preserve"> חקיקת הקניין הרוחני בישראל</w:t>
      </w:r>
      <w:r w:rsidR="0045682F" w:rsidRPr="005F3228">
        <w:rPr>
          <w:rFonts w:ascii="David" w:hAnsi="David" w:cs="David" w:hint="cs"/>
          <w:sz w:val="24"/>
          <w:szCs w:val="24"/>
          <w:rtl/>
        </w:rPr>
        <w:t xml:space="preserve">, שכן </w:t>
      </w:r>
      <w:r w:rsidR="00A25549" w:rsidRPr="005F3228">
        <w:rPr>
          <w:rFonts w:ascii="David" w:hAnsi="David" w:cs="David" w:hint="cs"/>
          <w:sz w:val="24"/>
          <w:szCs w:val="24"/>
          <w:rtl/>
        </w:rPr>
        <w:t xml:space="preserve">מצד אחד </w:t>
      </w:r>
      <w:r w:rsidR="0045682F" w:rsidRPr="005F3228">
        <w:rPr>
          <w:rFonts w:ascii="David" w:hAnsi="David" w:cs="David" w:hint="cs"/>
          <w:sz w:val="24"/>
          <w:szCs w:val="24"/>
          <w:rtl/>
        </w:rPr>
        <w:t>מדובר בזכויות אשר אינן מטופלות כלל במסגרת החקיקה הקיימת</w:t>
      </w:r>
      <w:r w:rsidR="00FF665B" w:rsidRPr="005F3228">
        <w:rPr>
          <w:rFonts w:ascii="David" w:hAnsi="David" w:cs="David" w:hint="cs"/>
          <w:sz w:val="24"/>
          <w:szCs w:val="24"/>
          <w:rtl/>
        </w:rPr>
        <w:t xml:space="preserve"> ואין אינדיקציה לכך ששתיקת המחוקק בהקשר אליהן מהווה הסדר שלילי</w:t>
      </w:r>
      <w:r w:rsidR="0045682F" w:rsidRPr="005F3228">
        <w:rPr>
          <w:rFonts w:ascii="David" w:hAnsi="David" w:cs="David" w:hint="cs"/>
          <w:sz w:val="24"/>
          <w:szCs w:val="24"/>
          <w:rtl/>
        </w:rPr>
        <w:t>, ומצד שני יש הצדקות משכנעות להגנה עליהן.</w:t>
      </w:r>
      <w:r w:rsidR="00F215A5" w:rsidRPr="005F3228">
        <w:rPr>
          <w:rFonts w:ascii="David" w:hAnsi="David" w:cs="David"/>
          <w:sz w:val="24"/>
          <w:szCs w:val="24"/>
          <w:rtl/>
        </w:rPr>
        <w:t xml:space="preserve"> </w:t>
      </w:r>
      <w:r w:rsidR="00E56528" w:rsidRPr="005F3228">
        <w:rPr>
          <w:rFonts w:ascii="David" w:hAnsi="David" w:cs="David" w:hint="cs"/>
          <w:sz w:val="24"/>
          <w:szCs w:val="24"/>
          <w:rtl/>
        </w:rPr>
        <w:t xml:space="preserve">אנו סבורים, כי האופן בו יושמה הלכת </w:t>
      </w:r>
      <w:proofErr w:type="spellStart"/>
      <w:r w:rsidR="00E56528" w:rsidRPr="005F3228">
        <w:rPr>
          <w:rFonts w:ascii="David" w:hAnsi="David" w:cs="David" w:hint="cs"/>
          <w:sz w:val="24"/>
          <w:szCs w:val="24"/>
          <w:rtl/>
        </w:rPr>
        <w:t>א.ש.י.ר</w:t>
      </w:r>
      <w:proofErr w:type="spellEnd"/>
      <w:r w:rsidR="00E56528" w:rsidRPr="005F3228">
        <w:rPr>
          <w:rFonts w:ascii="David" w:hAnsi="David" w:cs="David" w:hint="cs"/>
          <w:sz w:val="24"/>
          <w:szCs w:val="24"/>
          <w:rtl/>
        </w:rPr>
        <w:t>. בשני ההקשרים שנדונו מעלה אינו מהווה</w:t>
      </w:r>
      <w:r w:rsidR="00F215A5" w:rsidRPr="005F3228">
        <w:rPr>
          <w:rFonts w:ascii="David" w:hAnsi="David" w:cs="David"/>
          <w:sz w:val="24"/>
          <w:szCs w:val="24"/>
          <w:rtl/>
        </w:rPr>
        <w:t xml:space="preserve"> התערבות בלתי ראויה באיזונים שנקבעו על ידי המחוקק בתחום הקניין הרוחני.  </w:t>
      </w:r>
    </w:p>
    <w:p w14:paraId="77E32972" w14:textId="77777777" w:rsidR="0061338C" w:rsidRPr="005F3228" w:rsidRDefault="00EA3FC1" w:rsidP="00BE3317">
      <w:pPr>
        <w:spacing w:line="300" w:lineRule="exact"/>
        <w:jc w:val="both"/>
        <w:rPr>
          <w:rFonts w:ascii="David" w:hAnsi="David" w:cs="David"/>
          <w:sz w:val="24"/>
          <w:szCs w:val="24"/>
        </w:rPr>
      </w:pPr>
      <w:r w:rsidRPr="005F3228">
        <w:rPr>
          <w:rFonts w:ascii="David" w:hAnsi="David" w:cs="David" w:hint="cs"/>
          <w:sz w:val="24"/>
          <w:szCs w:val="24"/>
          <w:rtl/>
        </w:rPr>
        <w:t xml:space="preserve">חשוב להזכיר </w:t>
      </w:r>
      <w:r w:rsidR="0061338C" w:rsidRPr="005F3228">
        <w:rPr>
          <w:rFonts w:ascii="David" w:hAnsi="David" w:cs="David" w:hint="cs"/>
          <w:sz w:val="24"/>
          <w:szCs w:val="24"/>
          <w:rtl/>
        </w:rPr>
        <w:t xml:space="preserve">בהקשר זה, כי </w:t>
      </w:r>
      <w:r w:rsidR="0061338C" w:rsidRPr="005F3228">
        <w:rPr>
          <w:rFonts w:ascii="David" w:hAnsi="David" w:cs="David"/>
          <w:sz w:val="24"/>
          <w:szCs w:val="24"/>
          <w:rtl/>
        </w:rPr>
        <w:t xml:space="preserve">לא בכל </w:t>
      </w:r>
      <w:r w:rsidR="0061338C" w:rsidRPr="005F3228">
        <w:rPr>
          <w:rFonts w:ascii="David" w:hAnsi="David" w:cs="David" w:hint="cs"/>
          <w:sz w:val="24"/>
          <w:szCs w:val="24"/>
          <w:rtl/>
        </w:rPr>
        <w:t>מקום</w:t>
      </w:r>
      <w:r w:rsidR="0061338C" w:rsidRPr="005F3228">
        <w:rPr>
          <w:rFonts w:ascii="David" w:hAnsi="David" w:cs="David"/>
          <w:sz w:val="24"/>
          <w:szCs w:val="24"/>
          <w:rtl/>
        </w:rPr>
        <w:t xml:space="preserve"> בו נעדר הסדר כלשהו מחקיקת הקניין הרוחני בישראל פירשו זאת בתי המשפט כחסר הטעון השלמה ו</w:t>
      </w:r>
      <w:r w:rsidR="0061338C" w:rsidRPr="005F3228">
        <w:rPr>
          <w:rFonts w:ascii="David" w:hAnsi="David" w:cs="David" w:hint="cs"/>
          <w:sz w:val="24"/>
          <w:szCs w:val="24"/>
          <w:rtl/>
        </w:rPr>
        <w:t>מיהרו למלא</w:t>
      </w:r>
      <w:r w:rsidR="0061338C" w:rsidRPr="005F3228">
        <w:rPr>
          <w:rFonts w:ascii="David" w:hAnsi="David" w:cs="David"/>
          <w:sz w:val="24"/>
          <w:szCs w:val="24"/>
          <w:rtl/>
        </w:rPr>
        <w:t xml:space="preserve"> חסר זה מכוח דיני עשיית עושר ולא במשפט</w:t>
      </w:r>
      <w:r w:rsidR="0061338C" w:rsidRPr="005F3228">
        <w:rPr>
          <w:rFonts w:ascii="David" w:hAnsi="David" w:cs="David" w:hint="cs"/>
          <w:sz w:val="24"/>
          <w:szCs w:val="24"/>
          <w:rtl/>
        </w:rPr>
        <w:t xml:space="preserve"> והלכת </w:t>
      </w:r>
      <w:proofErr w:type="spellStart"/>
      <w:r w:rsidR="0061338C" w:rsidRPr="005F3228">
        <w:rPr>
          <w:rFonts w:ascii="David" w:hAnsi="David" w:cs="David" w:hint="cs"/>
          <w:sz w:val="24"/>
          <w:szCs w:val="24"/>
          <w:rtl/>
        </w:rPr>
        <w:t>א.ש.י.ר</w:t>
      </w:r>
      <w:proofErr w:type="spellEnd"/>
      <w:r w:rsidR="0061338C" w:rsidRPr="005F3228">
        <w:rPr>
          <w:rFonts w:ascii="David" w:hAnsi="David" w:cs="David"/>
          <w:sz w:val="24"/>
          <w:szCs w:val="24"/>
          <w:rtl/>
        </w:rPr>
        <w:t xml:space="preserve">. </w:t>
      </w:r>
      <w:r w:rsidR="0061338C" w:rsidRPr="005F3228">
        <w:rPr>
          <w:rFonts w:ascii="David" w:hAnsi="David" w:cs="David" w:hint="cs"/>
          <w:sz w:val="24"/>
          <w:szCs w:val="24"/>
          <w:rtl/>
        </w:rPr>
        <w:t>כך</w:t>
      </w:r>
      <w:r w:rsidR="0061338C" w:rsidRPr="005F3228">
        <w:rPr>
          <w:rFonts w:ascii="David" w:hAnsi="David" w:cs="David"/>
          <w:sz w:val="24"/>
          <w:szCs w:val="24"/>
          <w:rtl/>
        </w:rPr>
        <w:t xml:space="preserve">, בתי המשפט בישראל נמנעו מלעשות שימוש </w:t>
      </w:r>
      <w:r w:rsidR="0061338C" w:rsidRPr="005F3228">
        <w:rPr>
          <w:rFonts w:ascii="David" w:hAnsi="David" w:cs="David" w:hint="cs"/>
          <w:sz w:val="24"/>
          <w:szCs w:val="24"/>
          <w:rtl/>
        </w:rPr>
        <w:t>בהלכה</w:t>
      </w:r>
      <w:r w:rsidR="0061338C" w:rsidRPr="005F3228">
        <w:rPr>
          <w:rFonts w:ascii="David" w:hAnsi="David" w:cs="David"/>
          <w:sz w:val="24"/>
          <w:szCs w:val="24"/>
          <w:rtl/>
        </w:rPr>
        <w:t xml:space="preserve"> לשם הרחבת ההגנה המוקנית למאגרי מידע </w:t>
      </w:r>
      <w:r w:rsidR="0061338C" w:rsidRPr="005F3228">
        <w:rPr>
          <w:rFonts w:ascii="David" w:hAnsi="David" w:cs="David" w:hint="cs"/>
          <w:sz w:val="24"/>
          <w:szCs w:val="24"/>
          <w:rtl/>
        </w:rPr>
        <w:t>המורכבים מעובדות ונתונים</w:t>
      </w:r>
      <w:r w:rsidR="00324927" w:rsidRPr="005F3228">
        <w:rPr>
          <w:rFonts w:ascii="David" w:hAnsi="David" w:cs="David" w:hint="cs"/>
          <w:sz w:val="24"/>
          <w:szCs w:val="24"/>
          <w:rtl/>
        </w:rPr>
        <w:t>.</w:t>
      </w:r>
      <w:r w:rsidR="0061338C" w:rsidRPr="005F3228">
        <w:rPr>
          <w:rFonts w:ascii="David" w:hAnsi="David" w:cs="David" w:hint="cs"/>
          <w:sz w:val="24"/>
          <w:szCs w:val="24"/>
          <w:rtl/>
        </w:rPr>
        <w:t xml:space="preserve"> במשפט הישראלי </w:t>
      </w:r>
      <w:r w:rsidRPr="005F3228">
        <w:rPr>
          <w:rFonts w:ascii="David" w:hAnsi="David" w:cs="David" w:hint="cs"/>
          <w:sz w:val="24"/>
          <w:szCs w:val="24"/>
          <w:rtl/>
        </w:rPr>
        <w:t xml:space="preserve">ההגנה על מאגרי מידע כאלה מעוגנת </w:t>
      </w:r>
      <w:r w:rsidR="0061338C" w:rsidRPr="005F3228">
        <w:rPr>
          <w:rFonts w:ascii="David" w:hAnsi="David" w:cs="David" w:hint="cs"/>
          <w:sz w:val="24"/>
          <w:szCs w:val="24"/>
          <w:rtl/>
        </w:rPr>
        <w:t>בדיני זכויות יוצרים</w:t>
      </w:r>
      <w:r w:rsidRPr="005F3228">
        <w:rPr>
          <w:rFonts w:ascii="David" w:hAnsi="David" w:cs="David" w:hint="cs"/>
          <w:sz w:val="24"/>
          <w:szCs w:val="24"/>
          <w:rtl/>
        </w:rPr>
        <w:t>. ההגנה</w:t>
      </w:r>
      <w:r w:rsidR="0061338C" w:rsidRPr="005F3228">
        <w:rPr>
          <w:rFonts w:ascii="David" w:hAnsi="David" w:cs="David" w:hint="cs"/>
          <w:sz w:val="24"/>
          <w:szCs w:val="24"/>
          <w:rtl/>
        </w:rPr>
        <w:t xml:space="preserve"> </w:t>
      </w:r>
      <w:r w:rsidRPr="005F3228">
        <w:rPr>
          <w:rFonts w:ascii="David" w:hAnsi="David" w:cs="David" w:hint="cs"/>
          <w:sz w:val="24"/>
          <w:szCs w:val="24"/>
          <w:rtl/>
        </w:rPr>
        <w:t>חלה רק ביחס "לבחירה ולסידור" של תוכן המאגר ובלבד שבחירה וסידור כאלה מקיימים את דרישת המקוריות (לרבות רכיב היצירתיות הנכלל בה), והיא אינה משתרעת על הנתונים עצמם.</w:t>
      </w:r>
      <w:bookmarkStart w:id="50" w:name="_Ref28325658"/>
      <w:r w:rsidRPr="005F3228">
        <w:rPr>
          <w:rStyle w:val="FootnoteReference"/>
          <w:rFonts w:ascii="David" w:hAnsi="David" w:cs="David"/>
          <w:sz w:val="24"/>
          <w:szCs w:val="24"/>
          <w:rtl/>
        </w:rPr>
        <w:footnoteReference w:id="88"/>
      </w:r>
      <w:bookmarkEnd w:id="50"/>
      <w:r w:rsidRPr="005F3228">
        <w:rPr>
          <w:rFonts w:ascii="David" w:hAnsi="David" w:cs="David" w:hint="cs"/>
          <w:sz w:val="24"/>
          <w:szCs w:val="24"/>
          <w:rtl/>
        </w:rPr>
        <w:t xml:space="preserve"> זאת</w:t>
      </w:r>
      <w:r w:rsidR="0061338C" w:rsidRPr="005F3228">
        <w:rPr>
          <w:rFonts w:ascii="David" w:hAnsi="David" w:cs="David" w:hint="cs"/>
          <w:sz w:val="24"/>
          <w:szCs w:val="24"/>
          <w:rtl/>
        </w:rPr>
        <w:t xml:space="preserve"> </w:t>
      </w:r>
      <w:r w:rsidRPr="005F3228">
        <w:rPr>
          <w:rFonts w:ascii="David" w:hAnsi="David" w:cs="David" w:hint="cs"/>
          <w:sz w:val="24"/>
          <w:szCs w:val="24"/>
          <w:rtl/>
        </w:rPr>
        <w:t xml:space="preserve">בניגוד למצב </w:t>
      </w:r>
      <w:r w:rsidR="0061338C" w:rsidRPr="005F3228">
        <w:rPr>
          <w:rFonts w:ascii="David" w:hAnsi="David" w:cs="David" w:hint="cs"/>
          <w:sz w:val="24"/>
          <w:szCs w:val="24"/>
          <w:rtl/>
        </w:rPr>
        <w:t>במדינות אירופה</w:t>
      </w:r>
      <w:r w:rsidRPr="005F3228">
        <w:rPr>
          <w:rFonts w:ascii="David" w:hAnsi="David" w:cs="David" w:hint="cs"/>
          <w:sz w:val="24"/>
          <w:szCs w:val="24"/>
          <w:rtl/>
        </w:rPr>
        <w:t>, שם קיימת הגנה סטטוטורית, נפרדת, לתוכן של מאגרי מידע המורכבים מעובדות ונתונים</w:t>
      </w:r>
      <w:r w:rsidR="0061338C" w:rsidRPr="005F3228">
        <w:rPr>
          <w:rFonts w:ascii="David" w:hAnsi="David" w:cs="David" w:hint="cs"/>
          <w:sz w:val="24"/>
          <w:szCs w:val="24"/>
          <w:rtl/>
        </w:rPr>
        <w:t>.</w:t>
      </w:r>
      <w:r w:rsidRPr="005F3228">
        <w:rPr>
          <w:rStyle w:val="FootnoteReference"/>
          <w:rFonts w:ascii="David" w:hAnsi="David" w:cs="David"/>
          <w:sz w:val="24"/>
          <w:szCs w:val="24"/>
          <w:rtl/>
        </w:rPr>
        <w:footnoteReference w:id="89"/>
      </w:r>
      <w:r w:rsidRPr="005F3228">
        <w:rPr>
          <w:rFonts w:ascii="David" w:hAnsi="David" w:cs="David" w:hint="cs"/>
          <w:sz w:val="24"/>
          <w:szCs w:val="24"/>
          <w:rtl/>
        </w:rPr>
        <w:t xml:space="preserve"> למרות זאת, כאשר התבקשו בתי המשפט בישראל</w:t>
      </w:r>
      <w:r w:rsidR="00772595" w:rsidRPr="005F3228">
        <w:rPr>
          <w:rFonts w:ascii="David" w:hAnsi="David" w:cs="David" w:hint="cs"/>
          <w:sz w:val="24"/>
          <w:szCs w:val="24"/>
          <w:rtl/>
        </w:rPr>
        <w:t xml:space="preserve"> </w:t>
      </w:r>
      <w:r w:rsidRPr="005F3228">
        <w:rPr>
          <w:rFonts w:ascii="David" w:hAnsi="David" w:cs="David" w:hint="cs"/>
          <w:sz w:val="24"/>
          <w:szCs w:val="24"/>
          <w:rtl/>
        </w:rPr>
        <w:t xml:space="preserve">להכיר בהגנה על עובדות ונתונים </w:t>
      </w:r>
      <w:proofErr w:type="spellStart"/>
      <w:r w:rsidRPr="005F3228">
        <w:rPr>
          <w:rFonts w:ascii="David" w:hAnsi="David" w:cs="David" w:hint="cs"/>
          <w:sz w:val="24"/>
          <w:szCs w:val="24"/>
          <w:rtl/>
        </w:rPr>
        <w:t>מכח</w:t>
      </w:r>
      <w:proofErr w:type="spellEnd"/>
      <w:r w:rsidRPr="005F3228">
        <w:rPr>
          <w:rFonts w:ascii="David" w:hAnsi="David" w:cs="David" w:hint="cs"/>
          <w:sz w:val="24"/>
          <w:szCs w:val="24"/>
          <w:rtl/>
        </w:rPr>
        <w:t xml:space="preserve"> דיני עשיית עושר הם נמנעו מלעשות כן.</w:t>
      </w:r>
      <w:r w:rsidRPr="005F3228">
        <w:rPr>
          <w:rStyle w:val="FootnoteReference"/>
          <w:rFonts w:ascii="David" w:hAnsi="David" w:cs="David"/>
          <w:sz w:val="24"/>
          <w:szCs w:val="24"/>
          <w:rtl/>
        </w:rPr>
        <w:footnoteReference w:id="90"/>
      </w:r>
      <w:r w:rsidRPr="005F3228">
        <w:rPr>
          <w:rFonts w:ascii="David" w:hAnsi="David" w:cs="David" w:hint="cs"/>
          <w:sz w:val="24"/>
          <w:szCs w:val="24"/>
          <w:rtl/>
        </w:rPr>
        <w:t xml:space="preserve">  </w:t>
      </w:r>
    </w:p>
    <w:p w14:paraId="60B9FDD6" w14:textId="77777777" w:rsidR="00F215A5" w:rsidRPr="005F3228" w:rsidRDefault="00F215A5" w:rsidP="00931536">
      <w:pPr>
        <w:pStyle w:val="ListParagraph"/>
        <w:numPr>
          <w:ilvl w:val="0"/>
          <w:numId w:val="11"/>
        </w:numPr>
        <w:spacing w:line="300" w:lineRule="exact"/>
        <w:ind w:left="476" w:hanging="450"/>
        <w:jc w:val="both"/>
        <w:rPr>
          <w:rFonts w:ascii="David" w:hAnsi="David" w:cs="David"/>
          <w:b/>
          <w:bCs/>
          <w:sz w:val="24"/>
          <w:szCs w:val="24"/>
        </w:rPr>
      </w:pPr>
      <w:r w:rsidRPr="005F3228">
        <w:rPr>
          <w:rFonts w:ascii="David" w:hAnsi="David" w:cs="David"/>
          <w:b/>
          <w:bCs/>
          <w:sz w:val="24"/>
          <w:szCs w:val="24"/>
          <w:rtl/>
        </w:rPr>
        <w:t>הגנה על עיצובים לא רשומים</w:t>
      </w:r>
    </w:p>
    <w:p w14:paraId="5A4BEBA8" w14:textId="77777777" w:rsidR="00050366" w:rsidRPr="005F3228" w:rsidRDefault="00F215A5" w:rsidP="00050366">
      <w:pPr>
        <w:spacing w:line="300" w:lineRule="exact"/>
        <w:jc w:val="both"/>
        <w:rPr>
          <w:rFonts w:ascii="David" w:hAnsi="David" w:cs="David"/>
          <w:sz w:val="24"/>
          <w:szCs w:val="24"/>
          <w:rtl/>
        </w:rPr>
      </w:pPr>
      <w:r w:rsidRPr="005F3228">
        <w:rPr>
          <w:rFonts w:ascii="David" w:hAnsi="David" w:cs="David"/>
          <w:sz w:val="24"/>
          <w:szCs w:val="24"/>
          <w:rtl/>
        </w:rPr>
        <w:t xml:space="preserve">הקטגוריה השנייה, והגדולה מכולן, של מקרים דמויי </w:t>
      </w:r>
      <w:proofErr w:type="spellStart"/>
      <w:r w:rsidRPr="005F3228">
        <w:rPr>
          <w:rFonts w:ascii="David" w:hAnsi="David" w:cs="David"/>
          <w:sz w:val="24"/>
          <w:szCs w:val="24"/>
          <w:rtl/>
        </w:rPr>
        <w:t>א.ש.י.ר</w:t>
      </w:r>
      <w:proofErr w:type="spellEnd"/>
      <w:r w:rsidRPr="005F3228">
        <w:rPr>
          <w:rFonts w:ascii="David" w:hAnsi="David" w:cs="David"/>
          <w:sz w:val="24"/>
          <w:szCs w:val="24"/>
          <w:rtl/>
        </w:rPr>
        <w:t xml:space="preserve">., כוללת </w:t>
      </w:r>
      <w:r w:rsidR="007D6126" w:rsidRPr="005F3228">
        <w:rPr>
          <w:rFonts w:ascii="David" w:hAnsi="David" w:cs="David" w:hint="eastAsia"/>
          <w:sz w:val="24"/>
          <w:szCs w:val="24"/>
          <w:rtl/>
        </w:rPr>
        <w:t>שלושה</w:t>
      </w:r>
      <w:r w:rsidR="007D6126" w:rsidRPr="005F3228">
        <w:rPr>
          <w:rFonts w:ascii="David" w:hAnsi="David" w:cs="David"/>
          <w:sz w:val="24"/>
          <w:szCs w:val="24"/>
          <w:rtl/>
        </w:rPr>
        <w:t xml:space="preserve"> </w:t>
      </w:r>
      <w:r w:rsidR="007D6126" w:rsidRPr="005F3228">
        <w:rPr>
          <w:rFonts w:ascii="David" w:hAnsi="David" w:cs="David" w:hint="eastAsia"/>
          <w:sz w:val="24"/>
          <w:szCs w:val="24"/>
          <w:rtl/>
        </w:rPr>
        <w:t>עשר</w:t>
      </w:r>
      <w:r w:rsidR="007D6126" w:rsidRPr="005F3228">
        <w:rPr>
          <w:rFonts w:ascii="David" w:hAnsi="David" w:cs="David"/>
          <w:sz w:val="24"/>
          <w:szCs w:val="24"/>
          <w:rtl/>
        </w:rPr>
        <w:t xml:space="preserve"> </w:t>
      </w:r>
      <w:r w:rsidRPr="005F3228">
        <w:rPr>
          <w:rFonts w:ascii="David" w:hAnsi="David" w:cs="David"/>
          <w:sz w:val="24"/>
          <w:szCs w:val="24"/>
          <w:rtl/>
        </w:rPr>
        <w:t>מקרים בהם התוצר הרוחני שעמד על הפרק היה עיצוב של מוצר תעשייתי כלשהו: פריטי אופנה,</w:t>
      </w:r>
      <w:bookmarkStart w:id="51" w:name="_Ref28466019"/>
      <w:r w:rsidRPr="005F3228">
        <w:rPr>
          <w:rStyle w:val="FootnoteReference"/>
          <w:rFonts w:ascii="David" w:hAnsi="David" w:cs="David"/>
          <w:sz w:val="24"/>
          <w:szCs w:val="24"/>
          <w:rtl/>
        </w:rPr>
        <w:footnoteReference w:id="91"/>
      </w:r>
      <w:bookmarkEnd w:id="51"/>
      <w:r w:rsidRPr="005F3228">
        <w:rPr>
          <w:rFonts w:ascii="David" w:hAnsi="David" w:cs="David"/>
          <w:sz w:val="24"/>
          <w:szCs w:val="24"/>
          <w:rtl/>
        </w:rPr>
        <w:t xml:space="preserve"> תכשיטים,</w:t>
      </w:r>
      <w:bookmarkStart w:id="52" w:name="_Ref28465927"/>
      <w:r w:rsidRPr="005F3228">
        <w:rPr>
          <w:rStyle w:val="FootnoteReference"/>
          <w:rFonts w:ascii="David" w:hAnsi="David" w:cs="David"/>
          <w:sz w:val="24"/>
          <w:szCs w:val="24"/>
          <w:rtl/>
        </w:rPr>
        <w:footnoteReference w:id="92"/>
      </w:r>
      <w:bookmarkEnd w:id="52"/>
      <w:r w:rsidRPr="005F3228">
        <w:rPr>
          <w:rFonts w:ascii="David" w:hAnsi="David" w:cs="David"/>
          <w:sz w:val="24"/>
          <w:szCs w:val="24"/>
          <w:rtl/>
        </w:rPr>
        <w:t xml:space="preserve"> </w:t>
      </w:r>
      <w:r w:rsidRPr="005F3228">
        <w:rPr>
          <w:rFonts w:ascii="David" w:hAnsi="David" w:cs="David"/>
          <w:sz w:val="24"/>
          <w:szCs w:val="24"/>
          <w:rtl/>
        </w:rPr>
        <w:lastRenderedPageBreak/>
        <w:t>מוצרי יודאיקה,</w:t>
      </w:r>
      <w:r w:rsidRPr="005F3228">
        <w:rPr>
          <w:rStyle w:val="FootnoteReference"/>
          <w:rFonts w:ascii="David" w:hAnsi="David" w:cs="David"/>
          <w:sz w:val="24"/>
          <w:szCs w:val="24"/>
          <w:rtl/>
        </w:rPr>
        <w:footnoteReference w:id="93"/>
      </w:r>
      <w:r w:rsidRPr="005F3228">
        <w:rPr>
          <w:rFonts w:ascii="David" w:hAnsi="David" w:cs="David"/>
          <w:sz w:val="24"/>
          <w:szCs w:val="24"/>
          <w:rtl/>
        </w:rPr>
        <w:t xml:space="preserve"> ריהוט</w:t>
      </w:r>
      <w:r w:rsidR="007D6126" w:rsidRPr="005F3228">
        <w:rPr>
          <w:rFonts w:ascii="David" w:hAnsi="David" w:cs="David" w:hint="cs"/>
          <w:sz w:val="24"/>
          <w:szCs w:val="24"/>
          <w:rtl/>
        </w:rPr>
        <w:t xml:space="preserve"> ובדי ריפוד</w:t>
      </w:r>
      <w:r w:rsidRPr="005F3228">
        <w:rPr>
          <w:rFonts w:ascii="David" w:hAnsi="David" w:cs="David"/>
          <w:sz w:val="24"/>
          <w:szCs w:val="24"/>
          <w:rtl/>
        </w:rPr>
        <w:t>,</w:t>
      </w:r>
      <w:r w:rsidRPr="005F3228">
        <w:rPr>
          <w:rStyle w:val="FootnoteReference"/>
          <w:rFonts w:ascii="David" w:hAnsi="David" w:cs="David"/>
          <w:sz w:val="24"/>
          <w:szCs w:val="24"/>
          <w:rtl/>
        </w:rPr>
        <w:footnoteReference w:id="94"/>
      </w:r>
      <w:r w:rsidRPr="005F3228">
        <w:rPr>
          <w:rFonts w:ascii="David" w:hAnsi="David" w:cs="David"/>
          <w:sz w:val="24"/>
          <w:szCs w:val="24"/>
          <w:rtl/>
        </w:rPr>
        <w:t xml:space="preserve"> אריזות,</w:t>
      </w:r>
      <w:bookmarkStart w:id="53" w:name="_Ref28465980"/>
      <w:r w:rsidRPr="005F3228">
        <w:rPr>
          <w:rStyle w:val="FootnoteReference"/>
          <w:rFonts w:ascii="David" w:hAnsi="David" w:cs="David"/>
          <w:sz w:val="24"/>
          <w:szCs w:val="24"/>
          <w:rtl/>
        </w:rPr>
        <w:footnoteReference w:id="95"/>
      </w:r>
      <w:bookmarkEnd w:id="53"/>
      <w:r w:rsidRPr="005F3228">
        <w:rPr>
          <w:rFonts w:ascii="David" w:hAnsi="David" w:cs="David"/>
          <w:sz w:val="24"/>
          <w:szCs w:val="24"/>
          <w:rtl/>
        </w:rPr>
        <w:t xml:space="preserve"> ומאפיינים חזותיים של מערכות תקשורת.</w:t>
      </w:r>
      <w:bookmarkStart w:id="54" w:name="_Ref28466044"/>
      <w:r w:rsidRPr="005F3228">
        <w:rPr>
          <w:rStyle w:val="FootnoteReference"/>
          <w:rFonts w:ascii="David" w:hAnsi="David" w:cs="David"/>
          <w:sz w:val="24"/>
          <w:szCs w:val="24"/>
          <w:rtl/>
        </w:rPr>
        <w:footnoteReference w:id="96"/>
      </w:r>
      <w:bookmarkEnd w:id="54"/>
      <w:r w:rsidRPr="005F3228">
        <w:rPr>
          <w:rFonts w:ascii="David" w:hAnsi="David" w:cs="David"/>
          <w:sz w:val="24"/>
          <w:szCs w:val="24"/>
          <w:rtl/>
        </w:rPr>
        <w:t xml:space="preserve"> בכל המקרים הללו העיצוב לא נרשם </w:t>
      </w:r>
      <w:r w:rsidR="006D30B3" w:rsidRPr="005F3228">
        <w:rPr>
          <w:rFonts w:ascii="David" w:hAnsi="David" w:cs="David" w:hint="cs"/>
          <w:sz w:val="24"/>
          <w:szCs w:val="24"/>
          <w:rtl/>
        </w:rPr>
        <w:t>במרשם</w:t>
      </w:r>
      <w:r w:rsidRPr="005F3228">
        <w:rPr>
          <w:rFonts w:ascii="David" w:hAnsi="David" w:cs="David"/>
          <w:sz w:val="24"/>
          <w:szCs w:val="24"/>
          <w:rtl/>
        </w:rPr>
        <w:t xml:space="preserve"> העיצובים (מדגמים). כזכור, גם בשניים משלושת המקרים</w:t>
      </w:r>
      <w:r w:rsidRPr="005F3228">
        <w:rPr>
          <w:rFonts w:ascii="David" w:hAnsi="David" w:cs="David"/>
          <w:b/>
          <w:bCs/>
          <w:sz w:val="24"/>
          <w:szCs w:val="24"/>
          <w:rtl/>
        </w:rPr>
        <w:t xml:space="preserve"> </w:t>
      </w:r>
      <w:r w:rsidRPr="005F3228">
        <w:rPr>
          <w:rFonts w:ascii="David" w:hAnsi="David" w:cs="David"/>
          <w:sz w:val="24"/>
          <w:szCs w:val="24"/>
          <w:rtl/>
        </w:rPr>
        <w:t xml:space="preserve">שעמדו לדיון בפרשת </w:t>
      </w:r>
      <w:proofErr w:type="spellStart"/>
      <w:r w:rsidRPr="005F3228">
        <w:rPr>
          <w:rFonts w:ascii="David" w:hAnsi="David" w:cs="David"/>
          <w:sz w:val="24"/>
          <w:szCs w:val="24"/>
          <w:rtl/>
        </w:rPr>
        <w:t>א.ש.י.ר</w:t>
      </w:r>
      <w:proofErr w:type="spellEnd"/>
      <w:r w:rsidRPr="005F3228">
        <w:rPr>
          <w:rFonts w:ascii="David" w:hAnsi="David" w:cs="David"/>
          <w:sz w:val="24"/>
          <w:szCs w:val="24"/>
          <w:rtl/>
        </w:rPr>
        <w:t>., התוצרים הרוחניים הרלוונטיים היו עיצובים לא רשומים של מוצרים תעשייתיים.</w:t>
      </w:r>
      <w:r w:rsidRPr="005F3228">
        <w:rPr>
          <w:rStyle w:val="FootnoteReference"/>
          <w:rFonts w:ascii="David" w:hAnsi="David" w:cs="David"/>
          <w:sz w:val="24"/>
          <w:szCs w:val="24"/>
          <w:rtl/>
        </w:rPr>
        <w:footnoteReference w:id="97"/>
      </w:r>
      <w:r w:rsidRPr="005F3228">
        <w:rPr>
          <w:rFonts w:ascii="David" w:hAnsi="David" w:cs="David"/>
          <w:sz w:val="24"/>
          <w:szCs w:val="24"/>
          <w:rtl/>
        </w:rPr>
        <w:t xml:space="preserve"> </w:t>
      </w:r>
    </w:p>
    <w:p w14:paraId="2D9C81F8" w14:textId="77777777" w:rsidR="00F215A5" w:rsidRPr="005F3228" w:rsidRDefault="00050366" w:rsidP="00050366">
      <w:pPr>
        <w:spacing w:line="300" w:lineRule="exact"/>
        <w:jc w:val="both"/>
        <w:rPr>
          <w:rFonts w:ascii="David" w:hAnsi="David" w:cs="David"/>
          <w:sz w:val="24"/>
          <w:szCs w:val="24"/>
        </w:rPr>
      </w:pPr>
      <w:r w:rsidRPr="005F3228">
        <w:rPr>
          <w:rFonts w:ascii="David" w:hAnsi="David" w:cs="David" w:hint="cs"/>
          <w:sz w:val="24"/>
          <w:szCs w:val="24"/>
          <w:rtl/>
        </w:rPr>
        <w:t xml:space="preserve">חשוב להזכיר בהקשר זה כי </w:t>
      </w:r>
      <w:r w:rsidRPr="005F3228">
        <w:rPr>
          <w:rFonts w:ascii="David" w:hAnsi="David" w:cs="David"/>
          <w:sz w:val="24"/>
          <w:szCs w:val="24"/>
          <w:rtl/>
        </w:rPr>
        <w:t>עד לחקיקת חוק העיצובים, התשע"ז-2017,</w:t>
      </w:r>
      <w:r w:rsidRPr="005F3228">
        <w:rPr>
          <w:rStyle w:val="FootnoteReference"/>
          <w:rFonts w:ascii="David" w:hAnsi="David" w:cs="David"/>
          <w:sz w:val="24"/>
          <w:szCs w:val="24"/>
          <w:rtl/>
        </w:rPr>
        <w:footnoteReference w:id="98"/>
      </w:r>
      <w:r w:rsidRPr="005F3228">
        <w:rPr>
          <w:rFonts w:ascii="David" w:hAnsi="David" w:cs="David"/>
          <w:sz w:val="24"/>
          <w:szCs w:val="24"/>
          <w:rtl/>
        </w:rPr>
        <w:t xml:space="preserve"> לא היה קיים מסלול להגנה על מדגמים (עיצובים) לא רשומים בדיני הקניין הרוחני בישראל, וביחס לקבוצה לא מבוטלת של עיצובים, ובכללם פריטי אופנה, הליך של רישום הוא במידה רבה לא רלבנטי. ניתן אפוא לומר שטרם כניסתו לתוקף של חוק העיצובים, דיני הקניין הרוחני בישראל לקו בחסר בהקשר של הגנה אפקטיבית על עיצובים.</w:t>
      </w:r>
      <w:r w:rsidRPr="005F3228">
        <w:rPr>
          <w:rStyle w:val="FootnoteReference"/>
          <w:rFonts w:ascii="David" w:hAnsi="David" w:cs="David"/>
          <w:sz w:val="24"/>
          <w:szCs w:val="24"/>
          <w:rtl/>
        </w:rPr>
        <w:footnoteReference w:id="99"/>
      </w:r>
      <w:r w:rsidRPr="005F3228">
        <w:rPr>
          <w:rFonts w:ascii="David" w:hAnsi="David" w:cs="David"/>
          <w:sz w:val="24"/>
          <w:szCs w:val="24"/>
          <w:rtl/>
        </w:rPr>
        <w:t xml:space="preserve"> כעולה מן המחקר האמפירי, הפסיקה המשיכה לעשות שימוש בהלכת </w:t>
      </w:r>
      <w:proofErr w:type="spellStart"/>
      <w:r w:rsidRPr="005F3228">
        <w:rPr>
          <w:rFonts w:ascii="David" w:hAnsi="David" w:cs="David"/>
          <w:sz w:val="24"/>
          <w:szCs w:val="24"/>
          <w:rtl/>
        </w:rPr>
        <w:t>א.ש.י.ר</w:t>
      </w:r>
      <w:proofErr w:type="spellEnd"/>
      <w:r w:rsidRPr="005F3228">
        <w:rPr>
          <w:rFonts w:ascii="David" w:hAnsi="David" w:cs="David"/>
          <w:sz w:val="24"/>
          <w:szCs w:val="24"/>
          <w:rtl/>
        </w:rPr>
        <w:t xml:space="preserve">., על מנת </w:t>
      </w:r>
      <w:r w:rsidR="001E415C" w:rsidRPr="005F3228">
        <w:rPr>
          <w:rFonts w:ascii="David" w:hAnsi="David" w:cs="David" w:hint="cs"/>
          <w:sz w:val="24"/>
          <w:szCs w:val="24"/>
          <w:rtl/>
        </w:rPr>
        <w:t xml:space="preserve">לנסות </w:t>
      </w:r>
      <w:r w:rsidRPr="005F3228">
        <w:rPr>
          <w:rFonts w:ascii="David" w:hAnsi="David" w:cs="David"/>
          <w:sz w:val="24"/>
          <w:szCs w:val="24"/>
          <w:rtl/>
        </w:rPr>
        <w:t>לגשר על אותו פער ביחס להגנה על עיצובים שהוליד, במידה רבה, את פסק הדין המקורי.</w:t>
      </w:r>
      <w:r w:rsidRPr="005F3228">
        <w:rPr>
          <w:rStyle w:val="FootnoteReference"/>
          <w:rFonts w:ascii="David" w:hAnsi="David" w:cs="David"/>
          <w:sz w:val="24"/>
          <w:szCs w:val="24"/>
          <w:rtl/>
        </w:rPr>
        <w:footnoteReference w:id="100"/>
      </w:r>
    </w:p>
    <w:p w14:paraId="6832DD2F" w14:textId="77777777" w:rsidR="00F215A5" w:rsidRPr="005F3228" w:rsidRDefault="00F215A5" w:rsidP="00F46569">
      <w:pPr>
        <w:spacing w:line="300" w:lineRule="exact"/>
        <w:jc w:val="both"/>
        <w:rPr>
          <w:rFonts w:ascii="David" w:hAnsi="David" w:cs="David"/>
          <w:sz w:val="24"/>
          <w:szCs w:val="24"/>
          <w:rtl/>
        </w:rPr>
      </w:pPr>
      <w:r w:rsidRPr="005F3228">
        <w:rPr>
          <w:rFonts w:ascii="David" w:hAnsi="David" w:cs="David"/>
          <w:sz w:val="24"/>
          <w:szCs w:val="24"/>
          <w:rtl/>
        </w:rPr>
        <w:t xml:space="preserve">בכל המקרים המשתייכים לקטגוריה זו, החלטת בית המשפט לקבל את עילת עשיית העושר נעשתה על בסיס דיון מהותי ביסודות העילה. חשוב להדגיש כי במקרים רבים אחרים </w:t>
      </w:r>
      <w:r w:rsidR="006B551B" w:rsidRPr="005F3228">
        <w:rPr>
          <w:rFonts w:ascii="David" w:hAnsi="David" w:cs="David" w:hint="cs"/>
          <w:sz w:val="24"/>
          <w:szCs w:val="24"/>
          <w:rtl/>
        </w:rPr>
        <w:t>ב</w:t>
      </w:r>
      <w:r w:rsidRPr="005F3228">
        <w:rPr>
          <w:rFonts w:ascii="David" w:hAnsi="David" w:cs="David"/>
          <w:sz w:val="24"/>
          <w:szCs w:val="24"/>
          <w:rtl/>
        </w:rPr>
        <w:t xml:space="preserve">הם התוצר הרוחני שעמד על הפרק היה עיצוב לא רשום, נדחתה עילת התביעה בעשיית עושר. בחלק לא מבוטל מן המקרים </w:t>
      </w:r>
      <w:r w:rsidR="00784E9D" w:rsidRPr="005F3228">
        <w:rPr>
          <w:rFonts w:ascii="David" w:hAnsi="David" w:cs="David" w:hint="cs"/>
          <w:sz w:val="24"/>
          <w:szCs w:val="24"/>
          <w:rtl/>
        </w:rPr>
        <w:t>ש</w:t>
      </w:r>
      <w:r w:rsidRPr="005F3228">
        <w:rPr>
          <w:rFonts w:ascii="David" w:hAnsi="David" w:cs="David"/>
          <w:sz w:val="24"/>
          <w:szCs w:val="24"/>
          <w:rtl/>
        </w:rPr>
        <w:t>בהם התקבלה העילה הייתה מערכת יחסים נמשכת בין הצדדים עובר למקרה שנדון בפסק הדין (על-פי-רוב, יחסי הפצה עסקיים), והתנהלות לא הוגנת מצד הנתבע כלפי התובע היוותה גורם בעל משקל רב בהחלטה לקבל את עילת התביעה בעשיית עושר.</w:t>
      </w:r>
      <w:r w:rsidRPr="005F3228">
        <w:rPr>
          <w:rStyle w:val="FootnoteReference"/>
          <w:rFonts w:ascii="David" w:hAnsi="David" w:cs="David"/>
          <w:sz w:val="24"/>
          <w:szCs w:val="24"/>
          <w:rtl/>
        </w:rPr>
        <w:footnoteReference w:id="101"/>
      </w:r>
      <w:r w:rsidRPr="005F3228">
        <w:rPr>
          <w:rFonts w:ascii="David" w:hAnsi="David" w:cs="David"/>
          <w:sz w:val="24"/>
          <w:szCs w:val="24"/>
          <w:rtl/>
        </w:rPr>
        <w:t xml:space="preserve"> עוד יצוין, כי בחלק מן המקרים עמד על הפרק, בנוסף לעצם נטילת העיצוב, חשש להטעיית צרכנים.</w:t>
      </w:r>
      <w:r w:rsidRPr="005F3228">
        <w:rPr>
          <w:rStyle w:val="FootnoteReference"/>
          <w:rFonts w:ascii="David" w:hAnsi="David" w:cs="David"/>
          <w:sz w:val="24"/>
          <w:szCs w:val="24"/>
          <w:rtl/>
        </w:rPr>
        <w:footnoteReference w:id="102"/>
      </w:r>
      <w:r w:rsidRPr="005F3228">
        <w:rPr>
          <w:rFonts w:ascii="David" w:hAnsi="David" w:cs="David"/>
          <w:sz w:val="24"/>
          <w:szCs w:val="24"/>
          <w:rtl/>
        </w:rPr>
        <w:t xml:space="preserve"> מאפיין חשוב נוסף של פסקי הדין בקטגוריה זו הוא שבכולם השימוש בתוצר הרוחני נעשה "כפי שהוא" </w:t>
      </w:r>
      <w:r w:rsidRPr="005F3228">
        <w:rPr>
          <w:rFonts w:ascii="David" w:hAnsi="David" w:cs="David"/>
          <w:sz w:val="24"/>
          <w:szCs w:val="24"/>
        </w:rPr>
        <w:t>(as is)</w:t>
      </w:r>
      <w:r w:rsidR="00784E9D" w:rsidRPr="005F3228">
        <w:rPr>
          <w:rFonts w:ascii="David" w:hAnsi="David" w:cs="David" w:hint="cs"/>
          <w:sz w:val="24"/>
          <w:szCs w:val="24"/>
          <w:rtl/>
        </w:rPr>
        <w:t xml:space="preserve"> ולא היה מדובר בשימוש טרנספורמטיבי מצד הנתבע</w:t>
      </w:r>
      <w:r w:rsidR="00B16B9E" w:rsidRPr="005F3228">
        <w:rPr>
          <w:rFonts w:ascii="David" w:hAnsi="David" w:cs="David" w:hint="cs"/>
          <w:sz w:val="24"/>
          <w:szCs w:val="24"/>
          <w:rtl/>
        </w:rPr>
        <w:t>ים</w:t>
      </w:r>
      <w:r w:rsidRPr="005F3228">
        <w:rPr>
          <w:rFonts w:ascii="David" w:hAnsi="David" w:cs="David"/>
          <w:sz w:val="24"/>
          <w:szCs w:val="24"/>
          <w:rtl/>
        </w:rPr>
        <w:t xml:space="preserve">. במלים אחרות, לא נעשה במקרים אלה שימוש בהלכת </w:t>
      </w:r>
      <w:proofErr w:type="spellStart"/>
      <w:r w:rsidRPr="005F3228">
        <w:rPr>
          <w:rFonts w:ascii="David" w:hAnsi="David" w:cs="David"/>
          <w:sz w:val="24"/>
          <w:szCs w:val="24"/>
          <w:rtl/>
        </w:rPr>
        <w:t>א.ש.י.ר</w:t>
      </w:r>
      <w:proofErr w:type="spellEnd"/>
      <w:r w:rsidRPr="005F3228">
        <w:rPr>
          <w:rFonts w:ascii="David" w:hAnsi="David" w:cs="David"/>
          <w:sz w:val="24"/>
          <w:szCs w:val="24"/>
          <w:rtl/>
        </w:rPr>
        <w:t xml:space="preserve">. באופן </w:t>
      </w:r>
      <w:r w:rsidR="00A05836" w:rsidRPr="005F3228">
        <w:rPr>
          <w:rFonts w:ascii="David" w:hAnsi="David" w:cs="David" w:hint="cs"/>
          <w:sz w:val="24"/>
          <w:szCs w:val="24"/>
          <w:rtl/>
        </w:rPr>
        <w:t>שה</w:t>
      </w:r>
      <w:r w:rsidR="00A05836" w:rsidRPr="005F3228">
        <w:rPr>
          <w:rFonts w:ascii="David" w:hAnsi="David" w:cs="David"/>
          <w:sz w:val="24"/>
          <w:szCs w:val="24"/>
          <w:rtl/>
        </w:rPr>
        <w:t xml:space="preserve">גביל </w:t>
      </w:r>
      <w:r w:rsidRPr="005F3228">
        <w:rPr>
          <w:rFonts w:ascii="David" w:hAnsi="David" w:cs="David"/>
          <w:sz w:val="24"/>
          <w:szCs w:val="24"/>
          <w:rtl/>
        </w:rPr>
        <w:t>את האפשרות לעשות שימוש יצירתי בתוצרים רוחניים קיימים.</w:t>
      </w:r>
      <w:r w:rsidRPr="005F3228">
        <w:rPr>
          <w:rStyle w:val="FootnoteReference"/>
          <w:rFonts w:ascii="David" w:hAnsi="David" w:cs="David"/>
          <w:sz w:val="24"/>
          <w:szCs w:val="24"/>
          <w:rtl/>
        </w:rPr>
        <w:footnoteReference w:id="103"/>
      </w:r>
      <w:r w:rsidRPr="005F3228">
        <w:rPr>
          <w:rFonts w:ascii="David" w:hAnsi="David" w:cs="David"/>
          <w:sz w:val="24"/>
          <w:szCs w:val="24"/>
          <w:rtl/>
        </w:rPr>
        <w:t xml:space="preserve"> </w:t>
      </w:r>
    </w:p>
    <w:p w14:paraId="025C48F7" w14:textId="77777777" w:rsidR="00495C41" w:rsidRPr="005F3228" w:rsidRDefault="00573D71" w:rsidP="00BE3317">
      <w:pPr>
        <w:spacing w:line="300" w:lineRule="exact"/>
        <w:jc w:val="both"/>
        <w:rPr>
          <w:rFonts w:ascii="David" w:hAnsi="David" w:cs="David"/>
          <w:sz w:val="24"/>
          <w:szCs w:val="24"/>
          <w:rtl/>
        </w:rPr>
      </w:pPr>
      <w:r w:rsidRPr="005F3228">
        <w:rPr>
          <w:rFonts w:ascii="David" w:hAnsi="David" w:cs="David" w:hint="cs"/>
          <w:sz w:val="24"/>
          <w:szCs w:val="24"/>
          <w:rtl/>
        </w:rPr>
        <w:t xml:space="preserve">התרשמותנו מן מהאמור לעיל היא </w:t>
      </w:r>
      <w:r w:rsidR="00F215A5" w:rsidRPr="005F3228">
        <w:rPr>
          <w:rFonts w:ascii="David" w:hAnsi="David" w:cs="David"/>
          <w:sz w:val="24"/>
          <w:szCs w:val="24"/>
          <w:rtl/>
        </w:rPr>
        <w:t xml:space="preserve">כי גם בקטגוריה זו, נקטו בתי המשפט בגישה זהירה יחסית ביישמם את הלכת </w:t>
      </w:r>
      <w:proofErr w:type="spellStart"/>
      <w:r w:rsidR="00F215A5" w:rsidRPr="005F3228">
        <w:rPr>
          <w:rFonts w:ascii="David" w:hAnsi="David" w:cs="David"/>
          <w:sz w:val="24"/>
          <w:szCs w:val="24"/>
          <w:rtl/>
        </w:rPr>
        <w:t>א.ש.י.ר</w:t>
      </w:r>
      <w:proofErr w:type="spellEnd"/>
      <w:r w:rsidR="00F215A5" w:rsidRPr="005F3228">
        <w:rPr>
          <w:rFonts w:ascii="David" w:hAnsi="David" w:cs="David"/>
          <w:sz w:val="24"/>
          <w:szCs w:val="24"/>
          <w:rtl/>
        </w:rPr>
        <w:t>.</w:t>
      </w:r>
      <w:r w:rsidR="00495C41" w:rsidRPr="005F3228">
        <w:rPr>
          <w:rFonts w:ascii="David" w:hAnsi="David" w:cs="David" w:hint="cs"/>
          <w:sz w:val="24"/>
          <w:szCs w:val="24"/>
          <w:rtl/>
        </w:rPr>
        <w:t xml:space="preserve">, וכי במידה רבה הם עולים בקנה אחד עם </w:t>
      </w:r>
      <w:r w:rsidR="00A05836" w:rsidRPr="005F3228">
        <w:rPr>
          <w:rFonts w:ascii="David" w:hAnsi="David" w:cs="David" w:hint="cs"/>
          <w:sz w:val="24"/>
          <w:szCs w:val="24"/>
          <w:rtl/>
        </w:rPr>
        <w:t>סוגי ה</w:t>
      </w:r>
      <w:r w:rsidR="00495C41" w:rsidRPr="005F3228">
        <w:rPr>
          <w:rFonts w:ascii="David" w:hAnsi="David" w:cs="David" w:hint="cs"/>
          <w:sz w:val="24"/>
          <w:szCs w:val="24"/>
          <w:rtl/>
        </w:rPr>
        <w:t xml:space="preserve">מקרים </w:t>
      </w:r>
      <w:r w:rsidR="00A05836" w:rsidRPr="005F3228">
        <w:rPr>
          <w:rFonts w:ascii="David" w:hAnsi="David" w:cs="David" w:hint="cs"/>
          <w:sz w:val="24"/>
          <w:szCs w:val="24"/>
          <w:rtl/>
        </w:rPr>
        <w:t xml:space="preserve">ש"סומנו" </w:t>
      </w:r>
      <w:r w:rsidR="00495C41" w:rsidRPr="005F3228">
        <w:rPr>
          <w:rFonts w:ascii="David" w:hAnsi="David" w:cs="David" w:hint="cs"/>
          <w:sz w:val="24"/>
          <w:szCs w:val="24"/>
          <w:rtl/>
        </w:rPr>
        <w:t xml:space="preserve">על ידי בית המשפט בפסק הדין </w:t>
      </w:r>
      <w:r w:rsidR="00050366" w:rsidRPr="005F3228">
        <w:rPr>
          <w:rFonts w:ascii="David" w:hAnsi="David" w:cs="David" w:hint="cs"/>
          <w:sz w:val="24"/>
          <w:szCs w:val="24"/>
          <w:rtl/>
        </w:rPr>
        <w:t>המקורי</w:t>
      </w:r>
      <w:r w:rsidR="00495C41" w:rsidRPr="005F3228">
        <w:rPr>
          <w:rFonts w:ascii="David" w:hAnsi="David" w:cs="David" w:hint="cs"/>
          <w:sz w:val="24"/>
          <w:szCs w:val="24"/>
          <w:rtl/>
        </w:rPr>
        <w:t xml:space="preserve">, כמקרים </w:t>
      </w:r>
      <w:r w:rsidR="00495C41" w:rsidRPr="005F3228">
        <w:rPr>
          <w:rFonts w:ascii="David" w:hAnsi="David" w:cs="David"/>
          <w:sz w:val="24"/>
          <w:szCs w:val="24"/>
          <w:rtl/>
        </w:rPr>
        <w:t>בהם ניתן עקרונית להכיר בעילה מכוח דיני עשיית עושר</w:t>
      </w:r>
      <w:r w:rsidR="00495C41" w:rsidRPr="005F3228">
        <w:rPr>
          <w:rFonts w:ascii="David" w:hAnsi="David" w:cs="David" w:hint="cs"/>
          <w:sz w:val="24"/>
          <w:szCs w:val="24"/>
          <w:rtl/>
        </w:rPr>
        <w:t xml:space="preserve">. </w:t>
      </w:r>
      <w:r w:rsidR="00050366" w:rsidRPr="005F3228">
        <w:rPr>
          <w:rFonts w:ascii="David" w:hAnsi="David" w:cs="David" w:hint="cs"/>
          <w:sz w:val="24"/>
          <w:szCs w:val="24"/>
          <w:rtl/>
        </w:rPr>
        <w:t>זאת כאשר</w:t>
      </w:r>
      <w:r w:rsidR="00495C41" w:rsidRPr="005F3228">
        <w:rPr>
          <w:rFonts w:ascii="David" w:hAnsi="David" w:cs="David" w:hint="cs"/>
          <w:sz w:val="24"/>
          <w:szCs w:val="24"/>
          <w:rtl/>
        </w:rPr>
        <w:t xml:space="preserve"> </w:t>
      </w:r>
      <w:r w:rsidR="00495C41" w:rsidRPr="005F3228">
        <w:rPr>
          <w:rFonts w:ascii="David" w:hAnsi="David" w:cs="David"/>
          <w:sz w:val="24"/>
          <w:szCs w:val="24"/>
          <w:rtl/>
        </w:rPr>
        <w:t xml:space="preserve">"דיני הקניין הרוחני מתייחסים לאותו סוג נכס אך אינם מעניקים לו </w:t>
      </w:r>
      <w:r w:rsidR="00050366" w:rsidRPr="005F3228">
        <w:rPr>
          <w:rFonts w:ascii="David" w:hAnsi="David" w:cs="David" w:hint="cs"/>
          <w:sz w:val="24"/>
          <w:szCs w:val="24"/>
          <w:rtl/>
        </w:rPr>
        <w:t>...</w:t>
      </w:r>
      <w:r w:rsidR="00495C41" w:rsidRPr="005F3228">
        <w:rPr>
          <w:rFonts w:ascii="David" w:hAnsi="David" w:cs="David"/>
          <w:sz w:val="24"/>
          <w:szCs w:val="24"/>
          <w:rtl/>
        </w:rPr>
        <w:t xml:space="preserve"> הגנה </w:t>
      </w:r>
      <w:r w:rsidR="00495C41" w:rsidRPr="005F3228">
        <w:rPr>
          <w:rFonts w:ascii="David" w:hAnsi="David" w:cs="David"/>
          <w:sz w:val="24"/>
          <w:szCs w:val="24"/>
          <w:rtl/>
        </w:rPr>
        <w:lastRenderedPageBreak/>
        <w:t>יעילה</w:t>
      </w:r>
      <w:r w:rsidR="008D0316" w:rsidRPr="005F3228">
        <w:rPr>
          <w:rFonts w:ascii="David" w:hAnsi="David" w:cs="David" w:hint="cs"/>
          <w:sz w:val="24"/>
          <w:szCs w:val="24"/>
          <w:rtl/>
        </w:rPr>
        <w:t xml:space="preserve"> </w:t>
      </w:r>
      <w:r w:rsidR="00050366" w:rsidRPr="005F3228">
        <w:rPr>
          <w:rFonts w:ascii="David" w:hAnsi="David" w:cs="David" w:hint="cs"/>
          <w:sz w:val="24"/>
          <w:szCs w:val="24"/>
          <w:rtl/>
        </w:rPr>
        <w:t>...</w:t>
      </w:r>
      <w:r w:rsidR="008D0316" w:rsidRPr="005F3228">
        <w:rPr>
          <w:rFonts w:ascii="David" w:hAnsi="David" w:cs="David" w:hint="cs"/>
          <w:sz w:val="24"/>
          <w:szCs w:val="24"/>
          <w:rtl/>
        </w:rPr>
        <w:t xml:space="preserve"> </w:t>
      </w:r>
      <w:r w:rsidR="00495C41" w:rsidRPr="005F3228">
        <w:rPr>
          <w:rFonts w:ascii="David" w:hAnsi="David" w:cs="David"/>
          <w:sz w:val="24"/>
          <w:szCs w:val="24"/>
          <w:rtl/>
        </w:rPr>
        <w:t>לדוגמה, אי-מתן הגנה אפקטיבית על-ידי דיני המדגמים לפריטי אופנה שחיי המדף שלהם קצרים ונמשכים עונה אחת, והרווח מופק בדרך-כלל בתקופה קצרה זו ...".</w:t>
      </w:r>
      <w:r w:rsidR="00495C41" w:rsidRPr="005F3228">
        <w:rPr>
          <w:rStyle w:val="FootnoteReference"/>
          <w:rFonts w:ascii="David" w:hAnsi="David" w:cs="David"/>
          <w:sz w:val="24"/>
          <w:szCs w:val="24"/>
          <w:rtl/>
        </w:rPr>
        <w:footnoteReference w:id="104"/>
      </w:r>
      <w:r w:rsidR="00495C41" w:rsidRPr="005F3228">
        <w:rPr>
          <w:rFonts w:ascii="David" w:hAnsi="David" w:cs="David"/>
          <w:sz w:val="24"/>
          <w:szCs w:val="24"/>
          <w:rtl/>
        </w:rPr>
        <w:t xml:space="preserve"> </w:t>
      </w:r>
    </w:p>
    <w:p w14:paraId="2967ECFF" w14:textId="77777777" w:rsidR="00F215A5" w:rsidRPr="005F3228" w:rsidRDefault="00573D71" w:rsidP="001345D0">
      <w:pPr>
        <w:spacing w:line="300" w:lineRule="exact"/>
        <w:jc w:val="both"/>
        <w:rPr>
          <w:rFonts w:ascii="David" w:hAnsi="David" w:cs="David"/>
          <w:sz w:val="24"/>
          <w:szCs w:val="24"/>
          <w:rtl/>
        </w:rPr>
      </w:pPr>
      <w:r w:rsidRPr="005F3228">
        <w:rPr>
          <w:rFonts w:ascii="David" w:hAnsi="David" w:cs="David" w:hint="cs"/>
          <w:sz w:val="24"/>
          <w:szCs w:val="24"/>
          <w:rtl/>
        </w:rPr>
        <w:t>חשוב לציין, ש</w:t>
      </w:r>
      <w:r w:rsidR="00F215A5" w:rsidRPr="005F3228">
        <w:rPr>
          <w:rFonts w:ascii="David" w:hAnsi="David" w:cs="David"/>
          <w:sz w:val="24"/>
          <w:szCs w:val="24"/>
          <w:rtl/>
        </w:rPr>
        <w:t xml:space="preserve">החסר בהגנה אפקטיבית על עיצובים לא רשומים זכה כעת לטיפול חקיקתי בחוק העיצובים, </w:t>
      </w:r>
      <w:r w:rsidRPr="005F3228">
        <w:rPr>
          <w:rFonts w:ascii="David" w:hAnsi="David" w:cs="David" w:hint="cs"/>
          <w:sz w:val="24"/>
          <w:szCs w:val="24"/>
          <w:rtl/>
        </w:rPr>
        <w:t>ה</w:t>
      </w:r>
      <w:r w:rsidR="00F215A5" w:rsidRPr="005F3228">
        <w:rPr>
          <w:rFonts w:ascii="David" w:hAnsi="David" w:cs="David"/>
          <w:sz w:val="24"/>
          <w:szCs w:val="24"/>
          <w:rtl/>
        </w:rPr>
        <w:t>כולל הסדר המקנה הגנה בתנאים מסוימים גם לעיצוב לא רשום.</w:t>
      </w:r>
      <w:r w:rsidR="00F215A5" w:rsidRPr="005F3228">
        <w:rPr>
          <w:rStyle w:val="FootnoteReference"/>
          <w:rFonts w:ascii="David" w:hAnsi="David" w:cs="David"/>
          <w:sz w:val="24"/>
          <w:szCs w:val="24"/>
          <w:rtl/>
        </w:rPr>
        <w:footnoteReference w:id="105"/>
      </w:r>
      <w:r w:rsidR="00F215A5" w:rsidRPr="005F3228">
        <w:rPr>
          <w:rFonts w:ascii="David" w:hAnsi="David" w:cs="David"/>
          <w:sz w:val="24"/>
          <w:szCs w:val="24"/>
          <w:rtl/>
        </w:rPr>
        <w:t xml:space="preserve"> הסדר זה נועד להקנות הגנה גם </w:t>
      </w:r>
      <w:r w:rsidRPr="005F3228">
        <w:rPr>
          <w:rFonts w:ascii="David" w:hAnsi="David" w:cs="David" w:hint="cs"/>
          <w:sz w:val="24"/>
          <w:szCs w:val="24"/>
          <w:rtl/>
        </w:rPr>
        <w:t>ל</w:t>
      </w:r>
      <w:r w:rsidR="00F215A5" w:rsidRPr="005F3228">
        <w:rPr>
          <w:rFonts w:ascii="David" w:hAnsi="David" w:cs="David"/>
          <w:sz w:val="24"/>
          <w:szCs w:val="24"/>
          <w:rtl/>
        </w:rPr>
        <w:t>עיצובים שהם אופנות מתחלפות; להקל על מעצבים בעלי עסקים קטנים או על מעצבים בתחילת דרכם, אשר אינם מודעים לצורך ברישום העיצוב כדי לזכות בהגנה או אינם מעוניינים לשאת בנטל הכלכלי והבירוקרטי הכרוך ברישום; ולחזק את האינטרס הציבורי בפיתוח עיצובים חדשים.</w:t>
      </w:r>
      <w:r w:rsidR="00F215A5" w:rsidRPr="005F3228">
        <w:rPr>
          <w:rStyle w:val="FootnoteReference"/>
          <w:rFonts w:ascii="David" w:hAnsi="David" w:cs="David"/>
          <w:sz w:val="24"/>
          <w:szCs w:val="24"/>
          <w:rtl/>
        </w:rPr>
        <w:footnoteReference w:id="106"/>
      </w:r>
      <w:r w:rsidR="00F215A5" w:rsidRPr="005F3228">
        <w:rPr>
          <w:rFonts w:ascii="David" w:hAnsi="David" w:cs="David"/>
          <w:sz w:val="24"/>
          <w:szCs w:val="24"/>
          <w:rtl/>
        </w:rPr>
        <w:t xml:space="preserve"> בד בבד, </w:t>
      </w:r>
      <w:r w:rsidRPr="005F3228">
        <w:rPr>
          <w:rFonts w:ascii="David" w:hAnsi="David" w:cs="David" w:hint="cs"/>
          <w:sz w:val="24"/>
          <w:szCs w:val="24"/>
          <w:rtl/>
        </w:rPr>
        <w:t>נכלל בחוק סעיף של ייחוד עילה, ה</w:t>
      </w:r>
      <w:r w:rsidR="00F215A5" w:rsidRPr="005F3228">
        <w:rPr>
          <w:rFonts w:ascii="David" w:hAnsi="David" w:cs="David"/>
          <w:sz w:val="24"/>
          <w:szCs w:val="24"/>
          <w:rtl/>
        </w:rPr>
        <w:t>קובע כי "לא תהיה כל זכות בעיצוב, אלא לפי הוראות חוק זה".</w:t>
      </w:r>
      <w:r w:rsidR="00F215A5" w:rsidRPr="005F3228">
        <w:rPr>
          <w:rStyle w:val="FootnoteReference"/>
          <w:rFonts w:ascii="David" w:hAnsi="David" w:cs="David"/>
          <w:sz w:val="24"/>
          <w:szCs w:val="24"/>
          <w:rtl/>
        </w:rPr>
        <w:footnoteReference w:id="107"/>
      </w:r>
      <w:r w:rsidR="00F215A5" w:rsidRPr="005F3228">
        <w:rPr>
          <w:rFonts w:ascii="David" w:hAnsi="David" w:cs="David"/>
          <w:sz w:val="24"/>
          <w:szCs w:val="24"/>
          <w:rtl/>
        </w:rPr>
        <w:t xml:space="preserve"> בדברי ההסבר הודגש כי הסדר ייחוד העילה יחול גם </w:t>
      </w:r>
      <w:r w:rsidR="00D21882" w:rsidRPr="005F3228">
        <w:rPr>
          <w:rFonts w:ascii="David" w:hAnsi="David" w:cs="David" w:hint="cs"/>
          <w:sz w:val="24"/>
          <w:szCs w:val="24"/>
          <w:rtl/>
        </w:rPr>
        <w:t>ביחס ל</w:t>
      </w:r>
      <w:r w:rsidR="00F215A5" w:rsidRPr="005F3228">
        <w:rPr>
          <w:rFonts w:ascii="David" w:hAnsi="David" w:cs="David"/>
          <w:sz w:val="24"/>
          <w:szCs w:val="24"/>
          <w:rtl/>
        </w:rPr>
        <w:t xml:space="preserve">"עיצוב" </w:t>
      </w:r>
      <w:r w:rsidR="00D21882" w:rsidRPr="005F3228">
        <w:rPr>
          <w:rFonts w:ascii="David" w:hAnsi="David" w:cs="David" w:hint="cs"/>
          <w:sz w:val="24"/>
          <w:szCs w:val="24"/>
          <w:rtl/>
        </w:rPr>
        <w:t>ש</w:t>
      </w:r>
      <w:r w:rsidR="00F215A5" w:rsidRPr="005F3228">
        <w:rPr>
          <w:rFonts w:ascii="David" w:hAnsi="David" w:cs="David"/>
          <w:sz w:val="24"/>
          <w:szCs w:val="24"/>
          <w:rtl/>
        </w:rPr>
        <w:t xml:space="preserve">אינו עומד בתנאי הכשירות המנויים בחוק (למשל, </w:t>
      </w:r>
      <w:r w:rsidR="00D21882" w:rsidRPr="005F3228">
        <w:rPr>
          <w:rFonts w:ascii="David" w:hAnsi="David" w:cs="David" w:hint="cs"/>
          <w:sz w:val="24"/>
          <w:szCs w:val="24"/>
          <w:rtl/>
        </w:rPr>
        <w:t xml:space="preserve">בשל העדר </w:t>
      </w:r>
      <w:r w:rsidR="00F215A5" w:rsidRPr="005F3228">
        <w:rPr>
          <w:rFonts w:ascii="David" w:hAnsi="David" w:cs="David"/>
          <w:sz w:val="24"/>
          <w:szCs w:val="24"/>
          <w:rtl/>
        </w:rPr>
        <w:t>חדשנות או אופי ייחודי), על-מנת לשמור על האיזונים הקבועים בחוק.</w:t>
      </w:r>
      <w:r w:rsidR="00F215A5" w:rsidRPr="005F3228">
        <w:rPr>
          <w:rStyle w:val="FootnoteReference"/>
          <w:rFonts w:ascii="David" w:hAnsi="David" w:cs="David"/>
          <w:sz w:val="24"/>
          <w:szCs w:val="24"/>
          <w:rtl/>
        </w:rPr>
        <w:footnoteReference w:id="108"/>
      </w:r>
      <w:r w:rsidR="00F215A5" w:rsidRPr="005F3228">
        <w:rPr>
          <w:rFonts w:ascii="David" w:hAnsi="David" w:cs="David"/>
          <w:sz w:val="24"/>
          <w:szCs w:val="24"/>
          <w:rtl/>
        </w:rPr>
        <w:t xml:space="preserve"> עיצוב אשר אינו עומד בתנאים הקבועים בחוק לא יוכל אפוא להיות מוגן עוד באמצעות דיני עשיית עושר. כפי שבית המשפט העליון העיר לאחרונה, ניתן לראות את ההסדר המשולב האמור בחוק העיצובים כאימוץ ההכרעה המהותית של הלכת </w:t>
      </w:r>
      <w:proofErr w:type="spellStart"/>
      <w:r w:rsidR="00F215A5" w:rsidRPr="005F3228">
        <w:rPr>
          <w:rFonts w:ascii="David" w:hAnsi="David" w:cs="David"/>
          <w:sz w:val="24"/>
          <w:szCs w:val="24"/>
          <w:rtl/>
        </w:rPr>
        <w:t>א.ש.י.ר</w:t>
      </w:r>
      <w:proofErr w:type="spellEnd"/>
      <w:r w:rsidR="00F215A5" w:rsidRPr="005F3228">
        <w:rPr>
          <w:rFonts w:ascii="David" w:hAnsi="David" w:cs="David"/>
          <w:sz w:val="24"/>
          <w:szCs w:val="24"/>
          <w:rtl/>
        </w:rPr>
        <w:t>. בשדה הספציפי של עיצובים.</w:t>
      </w:r>
      <w:r w:rsidR="00F215A5" w:rsidRPr="005F3228">
        <w:rPr>
          <w:rStyle w:val="FootnoteReference"/>
          <w:rFonts w:ascii="David" w:hAnsi="David" w:cs="David"/>
          <w:sz w:val="24"/>
          <w:szCs w:val="24"/>
          <w:rtl/>
        </w:rPr>
        <w:footnoteReference w:id="109"/>
      </w:r>
      <w:r w:rsidR="00F215A5" w:rsidRPr="005F3228">
        <w:rPr>
          <w:rFonts w:ascii="David" w:hAnsi="David" w:cs="David"/>
          <w:sz w:val="24"/>
          <w:szCs w:val="24"/>
          <w:rtl/>
        </w:rPr>
        <w:t xml:space="preserve"> לאור </w:t>
      </w:r>
      <w:r w:rsidR="00D21882" w:rsidRPr="005F3228">
        <w:rPr>
          <w:rFonts w:ascii="David" w:hAnsi="David" w:cs="David" w:hint="cs"/>
          <w:sz w:val="24"/>
          <w:szCs w:val="24"/>
          <w:rtl/>
        </w:rPr>
        <w:t>ההסדר החדש</w:t>
      </w:r>
      <w:r w:rsidR="00F215A5" w:rsidRPr="005F3228">
        <w:rPr>
          <w:rFonts w:ascii="David" w:hAnsi="David" w:cs="David"/>
          <w:sz w:val="24"/>
          <w:szCs w:val="24"/>
          <w:rtl/>
        </w:rPr>
        <w:t xml:space="preserve">, ניתן לצפות כי קטגוריה זו של מקרים דמויי </w:t>
      </w:r>
      <w:proofErr w:type="spellStart"/>
      <w:r w:rsidR="00F215A5" w:rsidRPr="005F3228">
        <w:rPr>
          <w:rFonts w:ascii="David" w:hAnsi="David" w:cs="David"/>
          <w:sz w:val="24"/>
          <w:szCs w:val="24"/>
          <w:rtl/>
        </w:rPr>
        <w:t>א.ש.י.ר</w:t>
      </w:r>
      <w:proofErr w:type="spellEnd"/>
      <w:r w:rsidR="00F215A5" w:rsidRPr="005F3228">
        <w:rPr>
          <w:rFonts w:ascii="David" w:hAnsi="David" w:cs="David"/>
          <w:sz w:val="24"/>
          <w:szCs w:val="24"/>
          <w:rtl/>
        </w:rPr>
        <w:t>. תעלם מן הפסיקה בעתיד הקרוב.</w:t>
      </w:r>
    </w:p>
    <w:p w14:paraId="12FBAE23" w14:textId="77777777" w:rsidR="0025679A" w:rsidRPr="005F3228" w:rsidRDefault="0025679A" w:rsidP="0025679A">
      <w:pPr>
        <w:spacing w:line="300" w:lineRule="exact"/>
        <w:jc w:val="both"/>
        <w:rPr>
          <w:rFonts w:ascii="David" w:hAnsi="David" w:cs="David"/>
          <w:b/>
          <w:bCs/>
          <w:sz w:val="24"/>
          <w:szCs w:val="24"/>
        </w:rPr>
      </w:pPr>
      <w:r w:rsidRPr="005F3228">
        <w:rPr>
          <w:rFonts w:ascii="David" w:hAnsi="David" w:cs="David" w:hint="cs"/>
          <w:b/>
          <w:bCs/>
          <w:sz w:val="24"/>
          <w:szCs w:val="24"/>
          <w:rtl/>
        </w:rPr>
        <w:t xml:space="preserve">3. </w:t>
      </w:r>
      <w:r w:rsidRPr="005F3228">
        <w:rPr>
          <w:rFonts w:ascii="David" w:hAnsi="David" w:cs="David"/>
          <w:b/>
          <w:bCs/>
          <w:sz w:val="24"/>
          <w:szCs w:val="24"/>
          <w:rtl/>
        </w:rPr>
        <w:tab/>
        <w:t xml:space="preserve">קטגוריה שיורית </w:t>
      </w:r>
    </w:p>
    <w:p w14:paraId="5C54215F" w14:textId="77777777" w:rsidR="00785AFF" w:rsidRPr="005F3228" w:rsidRDefault="0098118E" w:rsidP="00F46569">
      <w:pPr>
        <w:spacing w:line="300" w:lineRule="exact"/>
        <w:jc w:val="both"/>
        <w:rPr>
          <w:rFonts w:ascii="David" w:hAnsi="David" w:cs="David"/>
          <w:sz w:val="24"/>
          <w:szCs w:val="24"/>
          <w:rtl/>
        </w:rPr>
      </w:pPr>
      <w:r w:rsidRPr="005F3228">
        <w:rPr>
          <w:rFonts w:ascii="David" w:hAnsi="David" w:cs="David" w:hint="cs"/>
          <w:sz w:val="24"/>
          <w:szCs w:val="24"/>
          <w:rtl/>
        </w:rPr>
        <w:t>ב</w:t>
      </w:r>
      <w:r w:rsidR="0025679A" w:rsidRPr="005F3228">
        <w:rPr>
          <w:rFonts w:ascii="David" w:hAnsi="David" w:cs="David"/>
          <w:sz w:val="24"/>
          <w:szCs w:val="24"/>
          <w:rtl/>
        </w:rPr>
        <w:t xml:space="preserve">קטגוריה </w:t>
      </w:r>
      <w:r w:rsidR="007B1C97" w:rsidRPr="005F3228">
        <w:rPr>
          <w:rFonts w:ascii="David" w:hAnsi="David" w:cs="David" w:hint="cs"/>
          <w:sz w:val="24"/>
          <w:szCs w:val="24"/>
          <w:rtl/>
        </w:rPr>
        <w:t>זו</w:t>
      </w:r>
      <w:r w:rsidR="007B1C97" w:rsidRPr="005F3228">
        <w:rPr>
          <w:rFonts w:ascii="David" w:hAnsi="David" w:cs="David"/>
          <w:sz w:val="24"/>
          <w:szCs w:val="24"/>
          <w:rtl/>
        </w:rPr>
        <w:t xml:space="preserve"> </w:t>
      </w:r>
      <w:r w:rsidRPr="005F3228">
        <w:rPr>
          <w:rFonts w:ascii="David" w:hAnsi="David" w:cs="David" w:hint="cs"/>
          <w:sz w:val="24"/>
          <w:szCs w:val="24"/>
          <w:rtl/>
        </w:rPr>
        <w:t xml:space="preserve">כללנו את </w:t>
      </w:r>
      <w:r w:rsidR="0025679A" w:rsidRPr="005F3228">
        <w:rPr>
          <w:rFonts w:ascii="David" w:hAnsi="David" w:cs="David"/>
          <w:sz w:val="24"/>
          <w:szCs w:val="24"/>
          <w:rtl/>
        </w:rPr>
        <w:t xml:space="preserve">פסקי הדין שלא משתייכים לקטגוריות הקודמות. זוהי, לכאורה, הקטגוריה הבעייתית ביותר מבחינת הפוטנציאל </w:t>
      </w:r>
      <w:r w:rsidR="0021678B" w:rsidRPr="005F3228">
        <w:rPr>
          <w:rFonts w:ascii="David" w:hAnsi="David" w:cs="David" w:hint="cs"/>
          <w:sz w:val="24"/>
          <w:szCs w:val="24"/>
          <w:rtl/>
        </w:rPr>
        <w:t xml:space="preserve">להרחבה </w:t>
      </w:r>
      <w:r w:rsidR="0025679A" w:rsidRPr="005F3228">
        <w:rPr>
          <w:rFonts w:ascii="David" w:hAnsi="David" w:cs="David"/>
          <w:sz w:val="24"/>
          <w:szCs w:val="24"/>
          <w:rtl/>
        </w:rPr>
        <w:t xml:space="preserve">לא </w:t>
      </w:r>
      <w:r w:rsidR="0021678B" w:rsidRPr="005F3228">
        <w:rPr>
          <w:rFonts w:ascii="David" w:hAnsi="David" w:cs="David" w:hint="cs"/>
          <w:sz w:val="24"/>
          <w:szCs w:val="24"/>
          <w:rtl/>
        </w:rPr>
        <w:t>ראויה של דיני הקניין הרוחני</w:t>
      </w:r>
      <w:r w:rsidR="0025679A" w:rsidRPr="005F3228">
        <w:rPr>
          <w:rFonts w:ascii="David" w:hAnsi="David" w:cs="David"/>
          <w:sz w:val="24"/>
          <w:szCs w:val="24"/>
          <w:rtl/>
        </w:rPr>
        <w:t xml:space="preserve">. מצאנו כי לאורך עשרים השנים מאז מתן פסק הדין בעניין </w:t>
      </w:r>
      <w:proofErr w:type="spellStart"/>
      <w:r w:rsidR="0025679A" w:rsidRPr="005F3228">
        <w:rPr>
          <w:rFonts w:ascii="David" w:hAnsi="David" w:cs="David"/>
          <w:b/>
          <w:bCs/>
          <w:sz w:val="24"/>
          <w:szCs w:val="24"/>
          <w:rtl/>
        </w:rPr>
        <w:t>א.ש.י.ר</w:t>
      </w:r>
      <w:proofErr w:type="spellEnd"/>
      <w:r w:rsidR="0025679A" w:rsidRPr="005F3228">
        <w:rPr>
          <w:rFonts w:ascii="David" w:hAnsi="David" w:cs="David"/>
          <w:b/>
          <w:bCs/>
          <w:sz w:val="24"/>
          <w:szCs w:val="24"/>
          <w:rtl/>
        </w:rPr>
        <w:t xml:space="preserve">. </w:t>
      </w:r>
      <w:r w:rsidR="0025679A" w:rsidRPr="005F3228">
        <w:rPr>
          <w:rFonts w:ascii="David" w:hAnsi="David" w:cs="David"/>
          <w:sz w:val="24"/>
          <w:szCs w:val="24"/>
          <w:rtl/>
        </w:rPr>
        <w:t xml:space="preserve">ניתנו </w:t>
      </w:r>
      <w:r w:rsidR="0025679A" w:rsidRPr="005F3228">
        <w:rPr>
          <w:rFonts w:ascii="David" w:hAnsi="David" w:cs="David"/>
          <w:b/>
          <w:bCs/>
          <w:sz w:val="24"/>
          <w:szCs w:val="24"/>
          <w:rtl/>
        </w:rPr>
        <w:t>ארבעה פסקי דין בלבד</w:t>
      </w:r>
      <w:r w:rsidR="0025679A" w:rsidRPr="005F3228">
        <w:rPr>
          <w:rFonts w:ascii="David" w:hAnsi="David" w:cs="David"/>
          <w:sz w:val="24"/>
          <w:szCs w:val="24"/>
          <w:rtl/>
        </w:rPr>
        <w:t>,</w:t>
      </w:r>
      <w:r w:rsidRPr="005F3228">
        <w:rPr>
          <w:rFonts w:ascii="David" w:hAnsi="David" w:cs="David" w:hint="cs"/>
          <w:sz w:val="24"/>
          <w:szCs w:val="24"/>
          <w:rtl/>
        </w:rPr>
        <w:t xml:space="preserve"> המשתייכים</w:t>
      </w:r>
      <w:r w:rsidR="0025679A" w:rsidRPr="005F3228">
        <w:rPr>
          <w:rFonts w:ascii="David" w:hAnsi="David" w:cs="David"/>
          <w:sz w:val="24"/>
          <w:szCs w:val="24"/>
          <w:rtl/>
        </w:rPr>
        <w:t xml:space="preserve"> לקטגוריה זו. </w:t>
      </w:r>
    </w:p>
    <w:p w14:paraId="22911D3E" w14:textId="77777777" w:rsidR="00785AFF" w:rsidRPr="005F3228" w:rsidRDefault="0025679A" w:rsidP="00785AFF">
      <w:pPr>
        <w:spacing w:line="300" w:lineRule="exact"/>
        <w:jc w:val="both"/>
        <w:rPr>
          <w:rFonts w:ascii="David" w:hAnsi="David" w:cs="David"/>
          <w:rtl/>
        </w:rPr>
      </w:pPr>
      <w:r w:rsidRPr="005F3228">
        <w:rPr>
          <w:rFonts w:ascii="David" w:hAnsi="David" w:cs="David"/>
          <w:sz w:val="24"/>
          <w:szCs w:val="24"/>
          <w:u w:val="single"/>
          <w:rtl/>
        </w:rPr>
        <w:t>הראשון</w:t>
      </w:r>
      <w:r w:rsidRPr="005F3228">
        <w:rPr>
          <w:rFonts w:ascii="David" w:hAnsi="David" w:cs="David"/>
          <w:sz w:val="24"/>
          <w:szCs w:val="24"/>
          <w:rtl/>
        </w:rPr>
        <w:t xml:space="preserve"> מבין פסקי דין אלה עסק בתביעה בין עורכי דין בגין העתקת כתב בית דין.</w:t>
      </w:r>
      <w:r w:rsidRPr="005F3228">
        <w:rPr>
          <w:rStyle w:val="FootnoteReference"/>
          <w:rFonts w:ascii="David" w:hAnsi="David" w:cs="David"/>
          <w:sz w:val="24"/>
          <w:szCs w:val="24"/>
          <w:rtl/>
        </w:rPr>
        <w:footnoteReference w:id="110"/>
      </w:r>
      <w:r w:rsidRPr="005F3228">
        <w:rPr>
          <w:rFonts w:ascii="David" w:hAnsi="David" w:cs="David"/>
          <w:sz w:val="24"/>
          <w:szCs w:val="24"/>
          <w:rtl/>
        </w:rPr>
        <w:t xml:space="preserve"> בית המשפט קבע כי העתירה מהווה לכאורה "יצירה ספרותית", החוסה תחת הגנת חוק זכות היוצרים, אך </w:t>
      </w:r>
      <w:r w:rsidR="0098118E" w:rsidRPr="005F3228">
        <w:rPr>
          <w:rFonts w:ascii="David" w:hAnsi="David" w:cs="David" w:hint="cs"/>
          <w:sz w:val="24"/>
          <w:szCs w:val="24"/>
          <w:rtl/>
        </w:rPr>
        <w:t xml:space="preserve">בכל מקרה </w:t>
      </w:r>
      <w:r w:rsidRPr="005F3228">
        <w:rPr>
          <w:rFonts w:ascii="David" w:hAnsi="David" w:cs="David"/>
          <w:sz w:val="24"/>
          <w:szCs w:val="24"/>
          <w:rtl/>
        </w:rPr>
        <w:t>בנסיבות העניין העתקת</w:t>
      </w:r>
      <w:r w:rsidR="0098118E" w:rsidRPr="005F3228">
        <w:rPr>
          <w:rFonts w:ascii="David" w:hAnsi="David" w:cs="David" w:hint="cs"/>
          <w:sz w:val="24"/>
          <w:szCs w:val="24"/>
          <w:rtl/>
        </w:rPr>
        <w:t xml:space="preserve"> המסמך</w:t>
      </w:r>
      <w:r w:rsidRPr="005F3228">
        <w:rPr>
          <w:rFonts w:ascii="David" w:hAnsi="David" w:cs="David"/>
          <w:sz w:val="24"/>
          <w:szCs w:val="24"/>
          <w:rtl/>
        </w:rPr>
        <w:t xml:space="preserve"> מקנה עילה בעשיית עושר. </w:t>
      </w:r>
      <w:r w:rsidR="00785AFF" w:rsidRPr="005F3228">
        <w:rPr>
          <w:rFonts w:ascii="David" w:hAnsi="David" w:cs="David" w:hint="cs"/>
          <w:sz w:val="24"/>
          <w:szCs w:val="24"/>
          <w:rtl/>
        </w:rPr>
        <w:t>נראה</w:t>
      </w:r>
      <w:r w:rsidR="00785AFF" w:rsidRPr="005F3228">
        <w:rPr>
          <w:rFonts w:ascii="David" w:hAnsi="David" w:cs="David"/>
          <w:sz w:val="24"/>
          <w:szCs w:val="24"/>
          <w:rtl/>
        </w:rPr>
        <w:t xml:space="preserve"> כי </w:t>
      </w:r>
      <w:r w:rsidR="00785AFF" w:rsidRPr="005F3228">
        <w:rPr>
          <w:rFonts w:ascii="David" w:hAnsi="David" w:cs="David" w:hint="cs"/>
          <w:sz w:val="24"/>
          <w:szCs w:val="24"/>
          <w:rtl/>
        </w:rPr>
        <w:t>קבלת</w:t>
      </w:r>
      <w:r w:rsidR="00785AFF" w:rsidRPr="005F3228">
        <w:rPr>
          <w:rFonts w:ascii="David" w:hAnsi="David" w:cs="David"/>
          <w:sz w:val="24"/>
          <w:szCs w:val="24"/>
          <w:rtl/>
        </w:rPr>
        <w:t xml:space="preserve"> עילת עשיית עושר </w:t>
      </w:r>
      <w:r w:rsidR="00785AFF" w:rsidRPr="005F3228">
        <w:rPr>
          <w:rFonts w:ascii="David" w:hAnsi="David" w:cs="David" w:hint="cs"/>
          <w:sz w:val="24"/>
          <w:szCs w:val="24"/>
          <w:rtl/>
        </w:rPr>
        <w:t xml:space="preserve">באותו מקרה </w:t>
      </w:r>
      <w:proofErr w:type="spellStart"/>
      <w:r w:rsidR="00785AFF" w:rsidRPr="005F3228">
        <w:rPr>
          <w:rFonts w:ascii="David" w:hAnsi="David" w:cs="David" w:hint="cs"/>
          <w:sz w:val="24"/>
          <w:szCs w:val="24"/>
          <w:rtl/>
        </w:rPr>
        <w:t>היתה</w:t>
      </w:r>
      <w:proofErr w:type="spellEnd"/>
      <w:r w:rsidR="00785AFF" w:rsidRPr="005F3228">
        <w:rPr>
          <w:rFonts w:ascii="David" w:hAnsi="David" w:cs="David" w:hint="cs"/>
          <w:sz w:val="24"/>
          <w:szCs w:val="24"/>
          <w:rtl/>
        </w:rPr>
        <w:t xml:space="preserve"> למעלה מן הצורך,</w:t>
      </w:r>
      <w:r w:rsidR="00785AFF" w:rsidRPr="005F3228">
        <w:rPr>
          <w:rFonts w:ascii="David" w:hAnsi="David" w:cs="David"/>
          <w:sz w:val="24"/>
          <w:szCs w:val="24"/>
          <w:rtl/>
        </w:rPr>
        <w:t xml:space="preserve"> הן לגישתו של בית המשפט עצמו, והן בהינתן פסיקה נוספת </w:t>
      </w:r>
      <w:r w:rsidR="00785AFF" w:rsidRPr="005F3228">
        <w:rPr>
          <w:rFonts w:ascii="David" w:hAnsi="David" w:cs="David" w:hint="cs"/>
          <w:sz w:val="24"/>
          <w:szCs w:val="24"/>
          <w:rtl/>
        </w:rPr>
        <w:t>המכ</w:t>
      </w:r>
      <w:r w:rsidR="00785AFF" w:rsidRPr="005F3228">
        <w:rPr>
          <w:rFonts w:ascii="David" w:hAnsi="David" w:cs="David"/>
          <w:sz w:val="24"/>
          <w:szCs w:val="24"/>
          <w:rtl/>
        </w:rPr>
        <w:t xml:space="preserve">ירה </w:t>
      </w:r>
      <w:r w:rsidR="00785AFF" w:rsidRPr="005F3228">
        <w:rPr>
          <w:rFonts w:ascii="David" w:hAnsi="David" w:cs="David" w:hint="cs"/>
          <w:sz w:val="24"/>
          <w:szCs w:val="24"/>
          <w:rtl/>
        </w:rPr>
        <w:t>באופן עקרוני ב</w:t>
      </w:r>
      <w:r w:rsidR="00785AFF" w:rsidRPr="005F3228">
        <w:rPr>
          <w:rFonts w:ascii="David" w:hAnsi="David" w:cs="David"/>
          <w:sz w:val="24"/>
          <w:szCs w:val="24"/>
          <w:rtl/>
        </w:rPr>
        <w:t>כתב בית דין כיצירה ספרותית המוגנת בזכות יוצרים.</w:t>
      </w:r>
      <w:bookmarkStart w:id="55" w:name="_Ref28468110"/>
      <w:r w:rsidR="00785AFF" w:rsidRPr="005F3228">
        <w:rPr>
          <w:rStyle w:val="FootnoteReference"/>
          <w:rFonts w:ascii="David" w:hAnsi="David" w:cs="David"/>
          <w:sz w:val="24"/>
          <w:szCs w:val="24"/>
          <w:rtl/>
        </w:rPr>
        <w:footnoteReference w:id="111"/>
      </w:r>
      <w:bookmarkEnd w:id="55"/>
      <w:r w:rsidR="00785AFF" w:rsidRPr="005F3228">
        <w:rPr>
          <w:rFonts w:ascii="David" w:hAnsi="David" w:cs="David"/>
          <w:rtl/>
        </w:rPr>
        <w:t xml:space="preserve"> </w:t>
      </w:r>
    </w:p>
    <w:p w14:paraId="341BA44C" w14:textId="77777777" w:rsidR="00870D0B" w:rsidRPr="005F3228" w:rsidRDefault="0025679A" w:rsidP="00F46569">
      <w:pPr>
        <w:spacing w:line="300" w:lineRule="exact"/>
        <w:jc w:val="both"/>
        <w:rPr>
          <w:rFonts w:ascii="David" w:hAnsi="David" w:cs="David"/>
          <w:sz w:val="24"/>
          <w:szCs w:val="24"/>
          <w:rtl/>
        </w:rPr>
      </w:pPr>
      <w:r w:rsidRPr="005F3228">
        <w:rPr>
          <w:rFonts w:ascii="David" w:hAnsi="David" w:cs="David"/>
          <w:sz w:val="24"/>
          <w:szCs w:val="24"/>
          <w:rtl/>
        </w:rPr>
        <w:t xml:space="preserve">פסק הדין </w:t>
      </w:r>
      <w:r w:rsidRPr="005F3228">
        <w:rPr>
          <w:rFonts w:ascii="David" w:hAnsi="David" w:cs="David"/>
          <w:sz w:val="24"/>
          <w:szCs w:val="24"/>
          <w:u w:val="single"/>
          <w:rtl/>
        </w:rPr>
        <w:t>השני</w:t>
      </w:r>
      <w:r w:rsidRPr="005F3228">
        <w:rPr>
          <w:rFonts w:ascii="David" w:hAnsi="David" w:cs="David"/>
          <w:sz w:val="24"/>
          <w:szCs w:val="24"/>
          <w:rtl/>
        </w:rPr>
        <w:t xml:space="preserve"> עוסק במקרה בו צולמו אבני בזלת מתוצרתה של הנתבעת בחזית ביתם של התובעים ללא הסכמתם והועלו לברושורים של הנתבעת. בית המשפט דחה </w:t>
      </w:r>
      <w:r w:rsidR="00870D0B" w:rsidRPr="005F3228">
        <w:rPr>
          <w:rFonts w:ascii="David" w:hAnsi="David" w:cs="David" w:hint="cs"/>
          <w:sz w:val="24"/>
          <w:szCs w:val="24"/>
          <w:rtl/>
        </w:rPr>
        <w:t xml:space="preserve">את </w:t>
      </w:r>
      <w:r w:rsidRPr="005F3228">
        <w:rPr>
          <w:rFonts w:ascii="David" w:hAnsi="David" w:cs="David"/>
          <w:sz w:val="24"/>
          <w:szCs w:val="24"/>
          <w:rtl/>
        </w:rPr>
        <w:t xml:space="preserve">עילות </w:t>
      </w:r>
      <w:r w:rsidR="00870D0B" w:rsidRPr="005F3228">
        <w:rPr>
          <w:rFonts w:ascii="David" w:hAnsi="David" w:cs="David" w:hint="cs"/>
          <w:sz w:val="24"/>
          <w:szCs w:val="24"/>
          <w:rtl/>
        </w:rPr>
        <w:t>ה</w:t>
      </w:r>
      <w:r w:rsidRPr="005F3228">
        <w:rPr>
          <w:rFonts w:ascii="David" w:hAnsi="David" w:cs="David"/>
          <w:sz w:val="24"/>
          <w:szCs w:val="24"/>
          <w:rtl/>
        </w:rPr>
        <w:t>תביעה מכוח דיני זכות יוצרים וחוק הגנת הפרטיות, אך קבע כי קיימת עילה בעשיית עושר.</w:t>
      </w:r>
      <w:r w:rsidRPr="005F3228">
        <w:rPr>
          <w:rStyle w:val="FootnoteReference"/>
          <w:rFonts w:ascii="David" w:hAnsi="David" w:cs="David"/>
          <w:sz w:val="24"/>
          <w:szCs w:val="24"/>
          <w:rtl/>
        </w:rPr>
        <w:footnoteReference w:id="112"/>
      </w:r>
      <w:r w:rsidRPr="005F3228">
        <w:rPr>
          <w:rFonts w:ascii="David" w:hAnsi="David" w:cs="David"/>
          <w:sz w:val="24"/>
          <w:szCs w:val="24"/>
          <w:rtl/>
        </w:rPr>
        <w:t xml:space="preserve"> </w:t>
      </w:r>
      <w:r w:rsidR="00870D0B" w:rsidRPr="005F3228">
        <w:rPr>
          <w:rFonts w:ascii="David" w:hAnsi="David" w:cs="David" w:hint="cs"/>
          <w:sz w:val="24"/>
          <w:szCs w:val="24"/>
          <w:rtl/>
        </w:rPr>
        <w:t xml:space="preserve">מקריאת פסק הדין קשה להימנע מהרושם </w:t>
      </w:r>
      <w:r w:rsidR="0021678B" w:rsidRPr="005F3228">
        <w:rPr>
          <w:rFonts w:ascii="David" w:hAnsi="David" w:cs="David" w:hint="cs"/>
          <w:sz w:val="24"/>
          <w:szCs w:val="24"/>
          <w:rtl/>
        </w:rPr>
        <w:t>ש</w:t>
      </w:r>
      <w:r w:rsidR="00870D0B" w:rsidRPr="005F3228">
        <w:rPr>
          <w:rFonts w:ascii="David" w:hAnsi="David" w:cs="David" w:hint="cs"/>
          <w:sz w:val="24"/>
          <w:szCs w:val="24"/>
          <w:rtl/>
        </w:rPr>
        <w:t>קבלת התביעה קשורה לעובדה שנשוא הצילום היה ביתם הפרטי של התובעים</w:t>
      </w:r>
      <w:r w:rsidR="00832103" w:rsidRPr="005F3228">
        <w:rPr>
          <w:rFonts w:ascii="David" w:hAnsi="David" w:cs="David" w:hint="cs"/>
          <w:sz w:val="24"/>
          <w:szCs w:val="24"/>
          <w:rtl/>
        </w:rPr>
        <w:t>,</w:t>
      </w:r>
      <w:r w:rsidR="00E46222" w:rsidRPr="005F3228">
        <w:rPr>
          <w:rFonts w:ascii="David" w:hAnsi="David" w:cs="David" w:hint="cs"/>
          <w:sz w:val="24"/>
          <w:szCs w:val="24"/>
          <w:rtl/>
        </w:rPr>
        <w:t xml:space="preserve"> </w:t>
      </w:r>
      <w:r w:rsidR="00832103" w:rsidRPr="005F3228">
        <w:rPr>
          <w:rFonts w:ascii="David" w:hAnsi="David" w:cs="David" w:hint="cs"/>
          <w:sz w:val="24"/>
          <w:szCs w:val="24"/>
          <w:rtl/>
        </w:rPr>
        <w:t xml:space="preserve">אך </w:t>
      </w:r>
      <w:r w:rsidR="00A21D7E" w:rsidRPr="005F3228">
        <w:rPr>
          <w:rFonts w:ascii="David" w:hAnsi="David" w:cs="David" w:hint="cs"/>
          <w:sz w:val="24"/>
          <w:szCs w:val="24"/>
          <w:rtl/>
        </w:rPr>
        <w:t xml:space="preserve">מכיוון שחוק </w:t>
      </w:r>
      <w:r w:rsidR="00E46222" w:rsidRPr="005F3228">
        <w:rPr>
          <w:rFonts w:ascii="David" w:hAnsi="David" w:cs="David" w:hint="cs"/>
          <w:sz w:val="24"/>
          <w:szCs w:val="24"/>
          <w:rtl/>
        </w:rPr>
        <w:t xml:space="preserve">הגנת הפרטיות אינו מעניק </w:t>
      </w:r>
      <w:r w:rsidR="00A21D7E" w:rsidRPr="005F3228">
        <w:rPr>
          <w:rFonts w:ascii="David" w:hAnsi="David" w:cs="David" w:hint="cs"/>
          <w:sz w:val="24"/>
          <w:szCs w:val="24"/>
          <w:rtl/>
        </w:rPr>
        <w:t>סעד ב</w:t>
      </w:r>
      <w:r w:rsidR="0021678B" w:rsidRPr="005F3228">
        <w:rPr>
          <w:rFonts w:ascii="David" w:hAnsi="David" w:cs="David" w:hint="cs"/>
          <w:sz w:val="24"/>
          <w:szCs w:val="24"/>
          <w:rtl/>
        </w:rPr>
        <w:t>נסיבות ה</w:t>
      </w:r>
      <w:r w:rsidR="00A21D7E" w:rsidRPr="005F3228">
        <w:rPr>
          <w:rFonts w:ascii="David" w:hAnsi="David" w:cs="David" w:hint="cs"/>
          <w:sz w:val="24"/>
          <w:szCs w:val="24"/>
          <w:rtl/>
        </w:rPr>
        <w:t>מקרה</w:t>
      </w:r>
      <w:r w:rsidR="0021678B" w:rsidRPr="005F3228">
        <w:rPr>
          <w:rFonts w:ascii="David" w:hAnsi="David" w:cs="David" w:hint="cs"/>
          <w:sz w:val="24"/>
          <w:szCs w:val="24"/>
          <w:rtl/>
        </w:rPr>
        <w:t>,</w:t>
      </w:r>
      <w:r w:rsidR="00A21D7E" w:rsidRPr="005F3228">
        <w:rPr>
          <w:rFonts w:ascii="David" w:hAnsi="David" w:cs="David" w:hint="cs"/>
          <w:sz w:val="24"/>
          <w:szCs w:val="24"/>
          <w:rtl/>
        </w:rPr>
        <w:t xml:space="preserve"> פנה בית המשפט </w:t>
      </w:r>
      <w:r w:rsidR="00A21D7E" w:rsidRPr="005F3228">
        <w:rPr>
          <w:rFonts w:ascii="David" w:hAnsi="David" w:cs="David" w:hint="cs"/>
          <w:sz w:val="24"/>
          <w:szCs w:val="24"/>
          <w:rtl/>
        </w:rPr>
        <w:lastRenderedPageBreak/>
        <w:t>לעילת עשיית העושר</w:t>
      </w:r>
      <w:r w:rsidR="00832103" w:rsidRPr="005F3228">
        <w:rPr>
          <w:rFonts w:ascii="David" w:hAnsi="David" w:cs="David" w:hint="cs"/>
          <w:sz w:val="24"/>
          <w:szCs w:val="24"/>
          <w:rtl/>
        </w:rPr>
        <w:t>.</w:t>
      </w:r>
      <w:r w:rsidR="00832103" w:rsidRPr="005F3228">
        <w:rPr>
          <w:rStyle w:val="FootnoteReference"/>
          <w:rFonts w:ascii="David" w:hAnsi="David" w:cs="David"/>
          <w:sz w:val="24"/>
          <w:szCs w:val="24"/>
          <w:rtl/>
        </w:rPr>
        <w:footnoteReference w:id="113"/>
      </w:r>
      <w:r w:rsidR="00832103" w:rsidRPr="005F3228">
        <w:rPr>
          <w:rFonts w:ascii="David" w:hAnsi="David" w:cs="David" w:hint="cs"/>
          <w:sz w:val="24"/>
          <w:szCs w:val="24"/>
          <w:rtl/>
        </w:rPr>
        <w:t xml:space="preserve"> על כן, </w:t>
      </w:r>
      <w:r w:rsidR="000C433D" w:rsidRPr="005F3228">
        <w:rPr>
          <w:rFonts w:ascii="David" w:hAnsi="David" w:cs="David" w:hint="cs"/>
          <w:sz w:val="24"/>
          <w:szCs w:val="24"/>
          <w:rtl/>
        </w:rPr>
        <w:t>ייתכן ש</w:t>
      </w:r>
      <w:r w:rsidR="00EC56C8" w:rsidRPr="005F3228">
        <w:rPr>
          <w:rFonts w:ascii="David" w:hAnsi="David" w:cs="David" w:hint="cs"/>
          <w:sz w:val="24"/>
          <w:szCs w:val="24"/>
          <w:rtl/>
        </w:rPr>
        <w:t>ב</w:t>
      </w:r>
      <w:r w:rsidR="000C433D" w:rsidRPr="005F3228">
        <w:rPr>
          <w:rFonts w:ascii="David" w:hAnsi="David" w:cs="David" w:hint="cs"/>
          <w:sz w:val="24"/>
          <w:szCs w:val="24"/>
          <w:rtl/>
        </w:rPr>
        <w:t xml:space="preserve">מקרה זה </w:t>
      </w:r>
      <w:r w:rsidR="0021678B" w:rsidRPr="005F3228">
        <w:rPr>
          <w:rFonts w:ascii="David" w:hAnsi="David" w:cs="David" w:hint="cs"/>
          <w:sz w:val="24"/>
          <w:szCs w:val="24"/>
          <w:rtl/>
        </w:rPr>
        <w:t xml:space="preserve">קבלת התביעה בעשיית עושר </w:t>
      </w:r>
      <w:proofErr w:type="spellStart"/>
      <w:r w:rsidR="0021678B" w:rsidRPr="005F3228">
        <w:rPr>
          <w:rFonts w:ascii="David" w:hAnsi="David" w:cs="David" w:hint="cs"/>
          <w:sz w:val="24"/>
          <w:szCs w:val="24"/>
          <w:rtl/>
        </w:rPr>
        <w:t>היתה</w:t>
      </w:r>
      <w:proofErr w:type="spellEnd"/>
      <w:r w:rsidR="0021678B" w:rsidRPr="005F3228">
        <w:rPr>
          <w:rFonts w:ascii="David" w:hAnsi="David" w:cs="David" w:hint="cs"/>
          <w:sz w:val="24"/>
          <w:szCs w:val="24"/>
          <w:rtl/>
        </w:rPr>
        <w:t xml:space="preserve"> </w:t>
      </w:r>
      <w:r w:rsidR="00EC56C8" w:rsidRPr="005F3228">
        <w:rPr>
          <w:rFonts w:ascii="David" w:hAnsi="David" w:cs="David" w:hint="cs"/>
          <w:sz w:val="24"/>
          <w:szCs w:val="24"/>
          <w:rtl/>
        </w:rPr>
        <w:t>אמנם</w:t>
      </w:r>
      <w:r w:rsidR="000C433D" w:rsidRPr="005F3228">
        <w:rPr>
          <w:rFonts w:ascii="David" w:hAnsi="David" w:cs="David" w:hint="cs"/>
          <w:sz w:val="24"/>
          <w:szCs w:val="24"/>
          <w:rtl/>
        </w:rPr>
        <w:t xml:space="preserve"> </w:t>
      </w:r>
      <w:r w:rsidR="0021678B" w:rsidRPr="005F3228">
        <w:rPr>
          <w:rFonts w:ascii="David" w:hAnsi="David" w:cs="David" w:hint="cs"/>
          <w:sz w:val="24"/>
          <w:szCs w:val="24"/>
          <w:rtl/>
        </w:rPr>
        <w:t>"</w:t>
      </w:r>
      <w:r w:rsidR="000C433D" w:rsidRPr="005F3228">
        <w:rPr>
          <w:rFonts w:ascii="David" w:hAnsi="David" w:cs="David" w:hint="cs"/>
          <w:sz w:val="24"/>
          <w:szCs w:val="24"/>
          <w:rtl/>
        </w:rPr>
        <w:t>פריצת גבולות</w:t>
      </w:r>
      <w:r w:rsidR="0021678B" w:rsidRPr="005F3228">
        <w:rPr>
          <w:rFonts w:ascii="David" w:hAnsi="David" w:cs="David" w:hint="cs"/>
          <w:sz w:val="24"/>
          <w:szCs w:val="24"/>
          <w:rtl/>
        </w:rPr>
        <w:t>"</w:t>
      </w:r>
      <w:r w:rsidR="000C433D" w:rsidRPr="005F3228">
        <w:rPr>
          <w:rFonts w:ascii="David" w:hAnsi="David" w:cs="David" w:hint="cs"/>
          <w:sz w:val="24"/>
          <w:szCs w:val="24"/>
          <w:rtl/>
        </w:rPr>
        <w:t xml:space="preserve">, אך </w:t>
      </w:r>
      <w:r w:rsidR="007B1C97" w:rsidRPr="005F3228">
        <w:rPr>
          <w:rFonts w:ascii="David" w:hAnsi="David" w:cs="David" w:hint="cs"/>
          <w:sz w:val="24"/>
          <w:szCs w:val="24"/>
          <w:rtl/>
        </w:rPr>
        <w:t xml:space="preserve">הגבולות שנפרצו הם גבולות </w:t>
      </w:r>
      <w:r w:rsidR="000C433D" w:rsidRPr="005F3228">
        <w:rPr>
          <w:rFonts w:ascii="David" w:hAnsi="David" w:cs="David" w:hint="cs"/>
          <w:sz w:val="24"/>
          <w:szCs w:val="24"/>
          <w:rtl/>
        </w:rPr>
        <w:t>דיני הפרטיות ולא דיני הקניין הרוחני.</w:t>
      </w:r>
      <w:r w:rsidR="00870D0B" w:rsidRPr="005F3228">
        <w:rPr>
          <w:rFonts w:ascii="David" w:hAnsi="David" w:cs="David" w:hint="cs"/>
          <w:sz w:val="24"/>
          <w:szCs w:val="24"/>
          <w:rtl/>
        </w:rPr>
        <w:t xml:space="preserve"> </w:t>
      </w:r>
    </w:p>
    <w:p w14:paraId="237ACA1C" w14:textId="02A35068" w:rsidR="004C02BE" w:rsidRPr="005F3228" w:rsidRDefault="0025679A" w:rsidP="00B64BA2">
      <w:pPr>
        <w:spacing w:line="300" w:lineRule="exact"/>
        <w:jc w:val="both"/>
        <w:rPr>
          <w:rFonts w:ascii="David" w:hAnsi="David" w:cs="David"/>
          <w:sz w:val="24"/>
          <w:szCs w:val="24"/>
          <w:rtl/>
        </w:rPr>
      </w:pPr>
      <w:r w:rsidRPr="005F3228">
        <w:rPr>
          <w:rFonts w:ascii="David" w:hAnsi="David" w:cs="David"/>
          <w:sz w:val="24"/>
          <w:szCs w:val="24"/>
          <w:rtl/>
        </w:rPr>
        <w:t xml:space="preserve">במקרה </w:t>
      </w:r>
      <w:r w:rsidRPr="005F3228">
        <w:rPr>
          <w:rFonts w:ascii="David" w:hAnsi="David" w:cs="David"/>
          <w:sz w:val="24"/>
          <w:szCs w:val="24"/>
          <w:u w:val="single"/>
          <w:rtl/>
        </w:rPr>
        <w:t>השלישי</w:t>
      </w:r>
      <w:r w:rsidRPr="005F3228">
        <w:rPr>
          <w:rFonts w:ascii="David" w:hAnsi="David" w:cs="David"/>
          <w:sz w:val="24"/>
          <w:szCs w:val="24"/>
          <w:rtl/>
        </w:rPr>
        <w:t xml:space="preserve"> ניתן סעד בעשיית עושר </w:t>
      </w:r>
      <w:r w:rsidR="00870D0B" w:rsidRPr="005F3228">
        <w:rPr>
          <w:rFonts w:ascii="David" w:hAnsi="David" w:cs="David" w:hint="cs"/>
          <w:sz w:val="24"/>
          <w:szCs w:val="24"/>
          <w:rtl/>
        </w:rPr>
        <w:t xml:space="preserve">בסכסוך בין חברות פרסום, </w:t>
      </w:r>
      <w:r w:rsidR="004C02BE" w:rsidRPr="005F3228">
        <w:rPr>
          <w:rFonts w:ascii="David" w:hAnsi="David" w:cs="David" w:hint="cs"/>
          <w:sz w:val="24"/>
          <w:szCs w:val="24"/>
          <w:rtl/>
        </w:rPr>
        <w:t>בגין</w:t>
      </w:r>
      <w:r w:rsidRPr="005F3228">
        <w:rPr>
          <w:rFonts w:ascii="David" w:hAnsi="David" w:cs="David"/>
          <w:sz w:val="24"/>
          <w:szCs w:val="24"/>
          <w:rtl/>
        </w:rPr>
        <w:t xml:space="preserve"> שימוש ברעיון שיווקי—גיוס </w:t>
      </w:r>
      <w:proofErr w:type="spellStart"/>
      <w:r w:rsidRPr="005F3228">
        <w:rPr>
          <w:rFonts w:ascii="David" w:hAnsi="David" w:cs="David"/>
          <w:sz w:val="24"/>
          <w:szCs w:val="24"/>
          <w:rtl/>
        </w:rPr>
        <w:t>הפרזנטורית</w:t>
      </w:r>
      <w:proofErr w:type="spellEnd"/>
      <w:r w:rsidRPr="005F3228">
        <w:rPr>
          <w:rFonts w:ascii="David" w:hAnsi="David" w:cs="David"/>
          <w:sz w:val="24"/>
          <w:szCs w:val="24"/>
          <w:rtl/>
        </w:rPr>
        <w:t xml:space="preserve"> נינט טייב לקמפיין פרסומי של חברת דלתא.</w:t>
      </w:r>
      <w:r w:rsidRPr="005F3228">
        <w:rPr>
          <w:rStyle w:val="FootnoteReference"/>
          <w:rFonts w:ascii="David" w:hAnsi="David" w:cs="David"/>
          <w:sz w:val="24"/>
          <w:szCs w:val="24"/>
          <w:rtl/>
        </w:rPr>
        <w:footnoteReference w:id="114"/>
      </w:r>
      <w:r w:rsidRPr="005F3228">
        <w:rPr>
          <w:rFonts w:ascii="David" w:hAnsi="David" w:cs="David"/>
          <w:sz w:val="24"/>
          <w:szCs w:val="24"/>
          <w:rtl/>
        </w:rPr>
        <w:t xml:space="preserve"> </w:t>
      </w:r>
      <w:r w:rsidR="003A229F" w:rsidRPr="005F3228">
        <w:rPr>
          <w:rFonts w:ascii="David" w:hAnsi="David" w:cs="David" w:hint="cs"/>
          <w:sz w:val="24"/>
          <w:szCs w:val="24"/>
          <w:rtl/>
        </w:rPr>
        <w:t xml:space="preserve">על רקע הקביעה המפורשת בחוק זכות יוצרים </w:t>
      </w:r>
      <w:r w:rsidR="00EC56C8" w:rsidRPr="005F3228">
        <w:rPr>
          <w:rFonts w:ascii="David" w:hAnsi="David" w:cs="David" w:hint="cs"/>
          <w:sz w:val="24"/>
          <w:szCs w:val="24"/>
          <w:rtl/>
        </w:rPr>
        <w:t>בדבר העדר זכויות יוצרים ברעיונות</w:t>
      </w:r>
      <w:r w:rsidR="000A1DC0" w:rsidRPr="005F3228">
        <w:rPr>
          <w:rFonts w:ascii="David" w:hAnsi="David" w:cs="David" w:hint="cs"/>
          <w:sz w:val="24"/>
          <w:szCs w:val="24"/>
          <w:rtl/>
        </w:rPr>
        <w:t>,</w:t>
      </w:r>
      <w:r w:rsidR="00EC56C8" w:rsidRPr="005F3228">
        <w:rPr>
          <w:rStyle w:val="FootnoteReference"/>
          <w:rFonts w:ascii="David" w:hAnsi="David" w:cs="David"/>
          <w:sz w:val="24"/>
          <w:szCs w:val="24"/>
          <w:rtl/>
        </w:rPr>
        <w:footnoteReference w:id="115"/>
      </w:r>
      <w:r w:rsidR="00EC56C8" w:rsidRPr="005F3228">
        <w:rPr>
          <w:rFonts w:ascii="David" w:hAnsi="David" w:cs="David" w:hint="cs"/>
          <w:sz w:val="24"/>
          <w:szCs w:val="24"/>
          <w:rtl/>
        </w:rPr>
        <w:t xml:space="preserve"> נראה, לכאורה, כי במקרה זה אמנם נעשה שימוש בהלכת </w:t>
      </w:r>
      <w:proofErr w:type="spellStart"/>
      <w:r w:rsidR="00EC56C8" w:rsidRPr="005F3228">
        <w:rPr>
          <w:rFonts w:ascii="David" w:hAnsi="David" w:cs="David" w:hint="cs"/>
          <w:sz w:val="24"/>
          <w:szCs w:val="24"/>
          <w:rtl/>
        </w:rPr>
        <w:t>א.ש.י.ר</w:t>
      </w:r>
      <w:proofErr w:type="spellEnd"/>
      <w:r w:rsidR="00EC56C8" w:rsidRPr="005F3228">
        <w:rPr>
          <w:rFonts w:ascii="David" w:hAnsi="David" w:cs="David" w:hint="cs"/>
          <w:sz w:val="24"/>
          <w:szCs w:val="24"/>
          <w:rtl/>
        </w:rPr>
        <w:t xml:space="preserve">. באופן המהווה הרחבה של דיני זכויות היוצרים מעבר לגבולות אותם קבע המחוקק, </w:t>
      </w:r>
      <w:r w:rsidR="00B64BA2" w:rsidRPr="005F3228">
        <w:rPr>
          <w:rFonts w:ascii="David" w:hAnsi="David" w:cs="David" w:hint="cs"/>
          <w:sz w:val="24"/>
          <w:szCs w:val="24"/>
          <w:rtl/>
        </w:rPr>
        <w:t xml:space="preserve">ועלול </w:t>
      </w:r>
      <w:r w:rsidR="00EC56C8" w:rsidRPr="005F3228">
        <w:rPr>
          <w:rFonts w:ascii="David" w:hAnsi="David" w:cs="David" w:hint="cs"/>
          <w:sz w:val="24"/>
          <w:szCs w:val="24"/>
          <w:rtl/>
        </w:rPr>
        <w:t>להפר את האיזון הקבוע בדין.</w:t>
      </w:r>
      <w:r w:rsidR="00EC56C8" w:rsidRPr="005F3228">
        <w:rPr>
          <w:rStyle w:val="FootnoteReference"/>
          <w:rFonts w:ascii="David" w:hAnsi="David" w:cs="David"/>
          <w:sz w:val="24"/>
          <w:szCs w:val="24"/>
          <w:rtl/>
        </w:rPr>
        <w:footnoteReference w:id="116"/>
      </w:r>
    </w:p>
    <w:p w14:paraId="38A84720" w14:textId="77777777" w:rsidR="0025679A" w:rsidRPr="005F3228" w:rsidRDefault="003A229F" w:rsidP="007B1C97">
      <w:pPr>
        <w:spacing w:line="300" w:lineRule="exact"/>
        <w:jc w:val="both"/>
        <w:rPr>
          <w:rFonts w:ascii="David" w:hAnsi="David" w:cs="David"/>
          <w:sz w:val="24"/>
          <w:szCs w:val="24"/>
          <w:rtl/>
        </w:rPr>
      </w:pPr>
      <w:r w:rsidRPr="005F3228">
        <w:rPr>
          <w:rFonts w:ascii="David" w:hAnsi="David" w:cs="David" w:hint="cs"/>
          <w:sz w:val="24"/>
          <w:szCs w:val="24"/>
          <w:rtl/>
        </w:rPr>
        <w:t xml:space="preserve">ולבסוף, </w:t>
      </w:r>
      <w:r w:rsidR="0025679A" w:rsidRPr="005F3228">
        <w:rPr>
          <w:rFonts w:ascii="David" w:hAnsi="David" w:cs="David"/>
          <w:sz w:val="24"/>
          <w:szCs w:val="24"/>
          <w:rtl/>
        </w:rPr>
        <w:t xml:space="preserve">פסק-הדין </w:t>
      </w:r>
      <w:r w:rsidR="0025679A" w:rsidRPr="005F3228">
        <w:rPr>
          <w:rFonts w:ascii="David" w:hAnsi="David" w:cs="David"/>
          <w:sz w:val="24"/>
          <w:szCs w:val="24"/>
          <w:u w:val="single"/>
          <w:rtl/>
        </w:rPr>
        <w:t>הרביעי</w:t>
      </w:r>
      <w:r w:rsidR="0025679A" w:rsidRPr="005F3228">
        <w:rPr>
          <w:rFonts w:ascii="David" w:hAnsi="David" w:cs="David"/>
          <w:sz w:val="24"/>
          <w:szCs w:val="24"/>
          <w:rtl/>
        </w:rPr>
        <w:t xml:space="preserve"> עסק בייבוא ומכירה של בשמים של התובעת, תוך הסרת הקידוד המציין את מקור הסחורה </w:t>
      </w:r>
      <w:r w:rsidR="00AA5856" w:rsidRPr="005F3228">
        <w:rPr>
          <w:rFonts w:ascii="David" w:hAnsi="David" w:cs="David" w:hint="cs"/>
          <w:sz w:val="24"/>
          <w:szCs w:val="24"/>
          <w:rtl/>
        </w:rPr>
        <w:t xml:space="preserve">(מקום המפעל או מספר האצווה של היצור)  </w:t>
      </w:r>
      <w:r w:rsidR="0025679A" w:rsidRPr="005F3228">
        <w:rPr>
          <w:rFonts w:ascii="David" w:hAnsi="David" w:cs="David"/>
          <w:sz w:val="24"/>
          <w:szCs w:val="24"/>
          <w:rtl/>
        </w:rPr>
        <w:t>מן האריזות. בית המשפט קבע כי על אף שהסרת הקידוד אינה מהווה הפרת סימן מסחר, קיימת עילה בעשיית עושר</w:t>
      </w:r>
      <w:r w:rsidR="004E5BF0" w:rsidRPr="005F3228">
        <w:rPr>
          <w:rFonts w:ascii="David" w:hAnsi="David" w:cs="David" w:hint="cs"/>
          <w:sz w:val="24"/>
          <w:szCs w:val="24"/>
          <w:rtl/>
        </w:rPr>
        <w:t>, משום שפעולה זו פוגעת בציפייה הלגיטימית של התובעת לקיומו של מערך הפצה סלקטיבי</w:t>
      </w:r>
      <w:r w:rsidR="00AA5856" w:rsidRPr="005F3228">
        <w:rPr>
          <w:rFonts w:ascii="David" w:hAnsi="David" w:cs="David" w:hint="cs"/>
          <w:sz w:val="24"/>
          <w:szCs w:val="24"/>
          <w:rtl/>
        </w:rPr>
        <w:t xml:space="preserve"> ולקיומה של אפשרות איתור תקלות באמצעות הקידוד</w:t>
      </w:r>
      <w:r w:rsidR="0025679A" w:rsidRPr="005F3228">
        <w:rPr>
          <w:rFonts w:ascii="David" w:hAnsi="David" w:cs="David"/>
          <w:sz w:val="24"/>
          <w:szCs w:val="24"/>
          <w:rtl/>
        </w:rPr>
        <w:t>.</w:t>
      </w:r>
      <w:r w:rsidR="0025679A" w:rsidRPr="005F3228">
        <w:rPr>
          <w:rStyle w:val="FootnoteReference"/>
          <w:rFonts w:ascii="David" w:hAnsi="David" w:cs="David"/>
          <w:sz w:val="24"/>
          <w:szCs w:val="24"/>
          <w:rtl/>
        </w:rPr>
        <w:footnoteReference w:id="117"/>
      </w:r>
    </w:p>
    <w:p w14:paraId="2ABD5DE2" w14:textId="77777777" w:rsidR="0025679A" w:rsidRPr="005F3228" w:rsidRDefault="0021678B" w:rsidP="00104F6D">
      <w:pPr>
        <w:spacing w:line="300" w:lineRule="exact"/>
        <w:jc w:val="both"/>
        <w:rPr>
          <w:rFonts w:ascii="David" w:hAnsi="David" w:cs="David"/>
          <w:b/>
          <w:bCs/>
          <w:sz w:val="24"/>
          <w:szCs w:val="24"/>
          <w:rtl/>
        </w:rPr>
      </w:pPr>
      <w:r w:rsidRPr="005F3228">
        <w:rPr>
          <w:rFonts w:ascii="David" w:hAnsi="David" w:cs="David" w:hint="cs"/>
          <w:sz w:val="24"/>
          <w:szCs w:val="24"/>
          <w:rtl/>
        </w:rPr>
        <w:t xml:space="preserve">איננו מתיימרים </w:t>
      </w:r>
      <w:r w:rsidR="0025679A" w:rsidRPr="005F3228">
        <w:rPr>
          <w:rFonts w:ascii="David" w:hAnsi="David" w:cs="David"/>
          <w:sz w:val="24"/>
          <w:szCs w:val="24"/>
          <w:rtl/>
        </w:rPr>
        <w:t xml:space="preserve">לחוות </w:t>
      </w:r>
      <w:r w:rsidRPr="005F3228">
        <w:rPr>
          <w:rFonts w:ascii="David" w:hAnsi="David" w:cs="David"/>
          <w:sz w:val="24"/>
          <w:szCs w:val="24"/>
          <w:rtl/>
        </w:rPr>
        <w:t>דע</w:t>
      </w:r>
      <w:r w:rsidRPr="005F3228">
        <w:rPr>
          <w:rFonts w:ascii="David" w:hAnsi="David" w:cs="David" w:hint="cs"/>
          <w:sz w:val="24"/>
          <w:szCs w:val="24"/>
          <w:rtl/>
        </w:rPr>
        <w:t xml:space="preserve">ה נחרצת </w:t>
      </w:r>
      <w:r w:rsidR="0025679A" w:rsidRPr="005F3228">
        <w:rPr>
          <w:rFonts w:ascii="David" w:hAnsi="David" w:cs="David"/>
          <w:sz w:val="24"/>
          <w:szCs w:val="24"/>
          <w:rtl/>
        </w:rPr>
        <w:t xml:space="preserve">בשאלה אם </w:t>
      </w:r>
      <w:r w:rsidRPr="005F3228">
        <w:rPr>
          <w:rFonts w:ascii="David" w:hAnsi="David" w:cs="David" w:hint="cs"/>
          <w:sz w:val="24"/>
          <w:szCs w:val="24"/>
          <w:rtl/>
        </w:rPr>
        <w:t>נכון</w:t>
      </w:r>
      <w:r w:rsidRPr="005F3228">
        <w:rPr>
          <w:rFonts w:ascii="David" w:hAnsi="David" w:cs="David"/>
          <w:sz w:val="24"/>
          <w:szCs w:val="24"/>
          <w:rtl/>
        </w:rPr>
        <w:t xml:space="preserve"> </w:t>
      </w:r>
      <w:r w:rsidR="0025679A" w:rsidRPr="005F3228">
        <w:rPr>
          <w:rFonts w:ascii="David" w:hAnsi="David" w:cs="David"/>
          <w:sz w:val="24"/>
          <w:szCs w:val="24"/>
          <w:rtl/>
        </w:rPr>
        <w:t>היה להכיר בעילה בעשיית עושר בנסיבות שנדונו בכל אחד מ</w:t>
      </w:r>
      <w:r w:rsidRPr="005F3228">
        <w:rPr>
          <w:rFonts w:ascii="David" w:hAnsi="David" w:cs="David" w:hint="eastAsia"/>
          <w:sz w:val="24"/>
          <w:szCs w:val="24"/>
          <w:rtl/>
        </w:rPr>
        <w:t>ארבעת</w:t>
      </w:r>
      <w:r w:rsidRPr="005F3228">
        <w:rPr>
          <w:rFonts w:ascii="David" w:hAnsi="David" w:cs="David"/>
          <w:sz w:val="24"/>
          <w:szCs w:val="24"/>
          <w:rtl/>
        </w:rPr>
        <w:t xml:space="preserve"> </w:t>
      </w:r>
      <w:r w:rsidRPr="005F3228">
        <w:rPr>
          <w:rFonts w:ascii="David" w:hAnsi="David" w:cs="David" w:hint="eastAsia"/>
          <w:sz w:val="24"/>
          <w:szCs w:val="24"/>
          <w:rtl/>
        </w:rPr>
        <w:t>המקרים</w:t>
      </w:r>
      <w:r w:rsidR="0025679A" w:rsidRPr="005F3228">
        <w:rPr>
          <w:rFonts w:ascii="David" w:hAnsi="David" w:cs="David"/>
          <w:sz w:val="24"/>
          <w:szCs w:val="24"/>
          <w:rtl/>
        </w:rPr>
        <w:t xml:space="preserve"> </w:t>
      </w:r>
      <w:r w:rsidRPr="005F3228">
        <w:rPr>
          <w:rFonts w:ascii="David" w:hAnsi="David" w:cs="David" w:hint="cs"/>
          <w:sz w:val="24"/>
          <w:szCs w:val="24"/>
          <w:rtl/>
        </w:rPr>
        <w:t>ה</w:t>
      </w:r>
      <w:r w:rsidR="0025679A" w:rsidRPr="005F3228">
        <w:rPr>
          <w:rFonts w:ascii="David" w:hAnsi="David" w:cs="David"/>
          <w:sz w:val="24"/>
          <w:szCs w:val="24"/>
          <w:rtl/>
        </w:rPr>
        <w:t>אלה</w:t>
      </w:r>
      <w:r w:rsidRPr="005F3228">
        <w:rPr>
          <w:rFonts w:ascii="David" w:hAnsi="David" w:cs="David" w:hint="cs"/>
          <w:sz w:val="24"/>
          <w:szCs w:val="24"/>
          <w:rtl/>
        </w:rPr>
        <w:t xml:space="preserve">. על פני הדברים נראה </w:t>
      </w:r>
      <w:r w:rsidRPr="005F3228">
        <w:rPr>
          <w:rFonts w:ascii="David" w:hAnsi="David" w:cs="David"/>
          <w:sz w:val="24"/>
          <w:szCs w:val="24"/>
          <w:rtl/>
        </w:rPr>
        <w:t xml:space="preserve">כי לא כולם מבטאים פריצת גבולות </w:t>
      </w:r>
      <w:r w:rsidRPr="005F3228">
        <w:rPr>
          <w:rFonts w:ascii="David" w:hAnsi="David" w:cs="David" w:hint="cs"/>
          <w:sz w:val="24"/>
          <w:szCs w:val="24"/>
          <w:rtl/>
        </w:rPr>
        <w:t xml:space="preserve">לא ראויה של דיני הקניין הרוחני. גם אם </w:t>
      </w:r>
      <w:r w:rsidRPr="005F3228">
        <w:rPr>
          <w:rFonts w:ascii="David" w:hAnsi="David" w:cs="David" w:hint="eastAsia"/>
          <w:sz w:val="24"/>
          <w:szCs w:val="24"/>
          <w:rtl/>
        </w:rPr>
        <w:t>בשניים</w:t>
      </w:r>
      <w:r w:rsidRPr="005F3228">
        <w:rPr>
          <w:rFonts w:ascii="David" w:hAnsi="David" w:cs="David"/>
          <w:sz w:val="24"/>
          <w:szCs w:val="24"/>
          <w:rtl/>
        </w:rPr>
        <w:t xml:space="preserve"> </w:t>
      </w:r>
      <w:r w:rsidRPr="005F3228">
        <w:rPr>
          <w:rFonts w:ascii="David" w:hAnsi="David" w:cs="David" w:hint="eastAsia"/>
          <w:sz w:val="24"/>
          <w:szCs w:val="24"/>
          <w:rtl/>
        </w:rPr>
        <w:t>או</w:t>
      </w:r>
      <w:r w:rsidRPr="005F3228">
        <w:rPr>
          <w:rFonts w:ascii="David" w:hAnsi="David" w:cs="David"/>
          <w:sz w:val="24"/>
          <w:szCs w:val="24"/>
          <w:rtl/>
        </w:rPr>
        <w:t xml:space="preserve"> </w:t>
      </w:r>
      <w:r w:rsidRPr="005F3228">
        <w:rPr>
          <w:rFonts w:ascii="David" w:hAnsi="David" w:cs="David" w:hint="eastAsia"/>
          <w:sz w:val="24"/>
          <w:szCs w:val="24"/>
          <w:rtl/>
        </w:rPr>
        <w:t>בשלושה</w:t>
      </w:r>
      <w:r w:rsidRPr="005F3228">
        <w:rPr>
          <w:rFonts w:ascii="David" w:hAnsi="David" w:cs="David" w:hint="cs"/>
          <w:sz w:val="24"/>
          <w:szCs w:val="24"/>
          <w:rtl/>
        </w:rPr>
        <w:t xml:space="preserve"> מתוך המקרים הללו ראוי היה להגיע לתוצאה אחרת, הרי מדובר בפסקי דין ספורים </w:t>
      </w:r>
      <w:r w:rsidR="0065615A" w:rsidRPr="005F3228">
        <w:rPr>
          <w:rFonts w:ascii="David" w:hAnsi="David" w:cs="David" w:hint="cs"/>
          <w:sz w:val="24"/>
          <w:szCs w:val="24"/>
          <w:rtl/>
        </w:rPr>
        <w:t xml:space="preserve">מתוך מכלול </w:t>
      </w:r>
      <w:r w:rsidR="00104F6D" w:rsidRPr="005F3228">
        <w:rPr>
          <w:rFonts w:ascii="David" w:hAnsi="David" w:cs="David" w:hint="cs"/>
          <w:sz w:val="24"/>
          <w:szCs w:val="24"/>
          <w:rtl/>
        </w:rPr>
        <w:t>המקרים שבמאגר</w:t>
      </w:r>
      <w:r w:rsidR="0065615A" w:rsidRPr="005F3228">
        <w:rPr>
          <w:rFonts w:ascii="David" w:hAnsi="David" w:cs="David" w:hint="cs"/>
          <w:sz w:val="24"/>
          <w:szCs w:val="24"/>
          <w:rtl/>
        </w:rPr>
        <w:t>, א</w:t>
      </w:r>
      <w:r w:rsidRPr="005F3228">
        <w:rPr>
          <w:rFonts w:ascii="David" w:hAnsi="David" w:cs="David" w:hint="cs"/>
          <w:sz w:val="24"/>
          <w:szCs w:val="24"/>
          <w:rtl/>
        </w:rPr>
        <w:t>ש</w:t>
      </w:r>
      <w:r w:rsidR="0065615A" w:rsidRPr="005F3228">
        <w:rPr>
          <w:rFonts w:ascii="David" w:hAnsi="David" w:cs="David" w:hint="cs"/>
          <w:sz w:val="24"/>
          <w:szCs w:val="24"/>
          <w:rtl/>
        </w:rPr>
        <w:t xml:space="preserve">ר </w:t>
      </w:r>
      <w:r w:rsidRPr="005F3228">
        <w:rPr>
          <w:rFonts w:ascii="David" w:hAnsi="David" w:cs="David" w:hint="cs"/>
          <w:sz w:val="24"/>
          <w:szCs w:val="24"/>
          <w:rtl/>
        </w:rPr>
        <w:t>ניתנו לאורך תקופה של עשרים שנים.</w:t>
      </w:r>
      <w:r w:rsidR="00B5601D" w:rsidRPr="005F3228">
        <w:rPr>
          <w:rFonts w:ascii="David" w:hAnsi="David" w:cs="David" w:hint="cs"/>
          <w:sz w:val="24"/>
          <w:szCs w:val="24"/>
          <w:rtl/>
        </w:rPr>
        <w:t xml:space="preserve"> </w:t>
      </w:r>
    </w:p>
    <w:p w14:paraId="3DC776FA" w14:textId="77777777" w:rsidR="00B5601D" w:rsidRPr="005F3228" w:rsidRDefault="00B5601D" w:rsidP="00F215A5">
      <w:pPr>
        <w:spacing w:line="300" w:lineRule="exact"/>
        <w:jc w:val="both"/>
        <w:rPr>
          <w:rFonts w:ascii="David" w:hAnsi="David" w:cs="David"/>
          <w:sz w:val="24"/>
          <w:szCs w:val="24"/>
          <w:rtl/>
        </w:rPr>
      </w:pPr>
      <w:r w:rsidRPr="005F3228">
        <w:rPr>
          <w:rFonts w:ascii="David" w:hAnsi="David" w:cs="David"/>
          <w:b/>
          <w:bCs/>
          <w:sz w:val="24"/>
          <w:szCs w:val="24"/>
          <w:rtl/>
        </w:rPr>
        <w:t xml:space="preserve">4. </w:t>
      </w:r>
      <w:r w:rsidR="00011DE7" w:rsidRPr="005F3228">
        <w:rPr>
          <w:rFonts w:ascii="David" w:hAnsi="David" w:cs="David"/>
          <w:b/>
          <w:bCs/>
          <w:sz w:val="24"/>
          <w:szCs w:val="24"/>
          <w:rtl/>
        </w:rPr>
        <w:tab/>
      </w:r>
      <w:r w:rsidR="00011DE7" w:rsidRPr="005F3228">
        <w:rPr>
          <w:rFonts w:ascii="David" w:hAnsi="David" w:cs="David" w:hint="cs"/>
          <w:b/>
          <w:bCs/>
          <w:sz w:val="24"/>
          <w:szCs w:val="24"/>
          <w:rtl/>
        </w:rPr>
        <w:t xml:space="preserve">שימוש הופכי </w:t>
      </w:r>
      <w:r w:rsidR="00510836" w:rsidRPr="005F3228">
        <w:rPr>
          <w:rFonts w:ascii="David" w:hAnsi="David" w:cs="David" w:hint="cs"/>
          <w:b/>
          <w:bCs/>
          <w:sz w:val="24"/>
          <w:szCs w:val="24"/>
          <w:rtl/>
        </w:rPr>
        <w:t>בעשיית עושר</w:t>
      </w:r>
      <w:r w:rsidR="00011DE7" w:rsidRPr="005F3228">
        <w:rPr>
          <w:rFonts w:ascii="David" w:hAnsi="David" w:cs="David" w:hint="cs"/>
          <w:b/>
          <w:bCs/>
          <w:sz w:val="24"/>
          <w:szCs w:val="24"/>
          <w:rtl/>
        </w:rPr>
        <w:t xml:space="preserve"> </w:t>
      </w:r>
    </w:p>
    <w:p w14:paraId="282C206D" w14:textId="482AA710" w:rsidR="00F215A5" w:rsidRPr="005F3228" w:rsidRDefault="007B1C97" w:rsidP="00B64BA2">
      <w:pPr>
        <w:spacing w:line="300" w:lineRule="exact"/>
        <w:jc w:val="both"/>
        <w:rPr>
          <w:rFonts w:ascii="David" w:hAnsi="David" w:cs="David"/>
          <w:sz w:val="24"/>
          <w:szCs w:val="24"/>
          <w:rtl/>
        </w:rPr>
      </w:pPr>
      <w:r w:rsidRPr="005F3228">
        <w:rPr>
          <w:rFonts w:ascii="David" w:hAnsi="David" w:cs="David" w:hint="cs"/>
          <w:sz w:val="24"/>
          <w:szCs w:val="24"/>
          <w:rtl/>
        </w:rPr>
        <w:t>לסיום, ראוי</w:t>
      </w:r>
      <w:r w:rsidR="00011DE7" w:rsidRPr="005F3228">
        <w:rPr>
          <w:rFonts w:ascii="David" w:hAnsi="David" w:cs="David" w:hint="cs"/>
          <w:sz w:val="24"/>
          <w:szCs w:val="24"/>
          <w:rtl/>
        </w:rPr>
        <w:t xml:space="preserve"> להזכיר </w:t>
      </w:r>
      <w:r w:rsidR="00B8135F" w:rsidRPr="005F3228">
        <w:rPr>
          <w:rFonts w:ascii="David" w:hAnsi="David" w:cs="David" w:hint="cs"/>
          <w:sz w:val="24"/>
          <w:szCs w:val="24"/>
          <w:rtl/>
        </w:rPr>
        <w:t>שימוש נוסף ומפתיע שנעשה לאחרונה בדיני עשיית עושר ולא במשפט, שלא על מנת להרחיב את דיני הקניין הרוחני אלא דווקא על מנת לצמצם את המונופולין הנתון לבעלי הקניין הרוחני</w:t>
      </w:r>
      <w:r w:rsidR="00011DE7" w:rsidRPr="005F3228">
        <w:rPr>
          <w:rFonts w:ascii="David" w:hAnsi="David" w:cs="David" w:hint="cs"/>
          <w:sz w:val="24"/>
          <w:szCs w:val="24"/>
          <w:rtl/>
        </w:rPr>
        <w:t>. המדובר</w:t>
      </w:r>
      <w:r w:rsidR="00011DE7" w:rsidRPr="005F3228">
        <w:rPr>
          <w:rFonts w:ascii="David" w:hAnsi="David" w:cs="David"/>
          <w:sz w:val="24"/>
          <w:szCs w:val="24"/>
          <w:rtl/>
        </w:rPr>
        <w:t xml:space="preserve"> </w:t>
      </w:r>
      <w:r w:rsidR="00011DE7" w:rsidRPr="005F3228">
        <w:rPr>
          <w:rFonts w:ascii="David" w:hAnsi="David" w:cs="David" w:hint="cs"/>
          <w:sz w:val="24"/>
          <w:szCs w:val="24"/>
          <w:rtl/>
        </w:rPr>
        <w:t>בהחלטה</w:t>
      </w:r>
      <w:r w:rsidR="00F215A5" w:rsidRPr="005F3228">
        <w:rPr>
          <w:rFonts w:ascii="David" w:hAnsi="David" w:cs="David"/>
          <w:sz w:val="24"/>
          <w:szCs w:val="24"/>
          <w:rtl/>
        </w:rPr>
        <w:t xml:space="preserve"> בפרשת </w:t>
      </w:r>
      <w:r w:rsidR="00F215A5" w:rsidRPr="005F3228">
        <w:rPr>
          <w:rFonts w:ascii="David" w:hAnsi="David" w:cs="David"/>
          <w:b/>
          <w:bCs/>
          <w:sz w:val="24"/>
          <w:szCs w:val="24"/>
          <w:rtl/>
        </w:rPr>
        <w:t xml:space="preserve">אוניפארם נ' </w:t>
      </w:r>
      <w:r w:rsidR="00F215A5" w:rsidRPr="005F3228">
        <w:rPr>
          <w:rFonts w:ascii="David" w:hAnsi="David" w:cs="David"/>
          <w:b/>
          <w:bCs/>
          <w:sz w:val="24"/>
          <w:szCs w:val="24"/>
        </w:rPr>
        <w:t>Sanofi</w:t>
      </w:r>
      <w:r w:rsidR="00F215A5" w:rsidRPr="005F3228">
        <w:rPr>
          <w:rFonts w:ascii="David" w:hAnsi="David" w:cs="David"/>
          <w:sz w:val="24"/>
          <w:szCs w:val="24"/>
          <w:rtl/>
        </w:rPr>
        <w:t xml:space="preserve">, </w:t>
      </w:r>
      <w:r w:rsidR="00011DE7" w:rsidRPr="005F3228">
        <w:rPr>
          <w:rFonts w:ascii="David" w:hAnsi="David" w:cs="David"/>
          <w:sz w:val="24"/>
          <w:szCs w:val="24"/>
          <w:rtl/>
        </w:rPr>
        <w:t>ב</w:t>
      </w:r>
      <w:r w:rsidR="00011DE7" w:rsidRPr="005F3228">
        <w:rPr>
          <w:rFonts w:ascii="David" w:hAnsi="David" w:cs="David" w:hint="cs"/>
          <w:sz w:val="24"/>
          <w:szCs w:val="24"/>
          <w:rtl/>
        </w:rPr>
        <w:t xml:space="preserve">ה </w:t>
      </w:r>
      <w:r w:rsidR="00F215A5" w:rsidRPr="005F3228">
        <w:rPr>
          <w:rFonts w:ascii="David" w:hAnsi="David" w:cs="David"/>
          <w:sz w:val="24"/>
          <w:szCs w:val="24"/>
          <w:rtl/>
        </w:rPr>
        <w:t xml:space="preserve">נעתר בית המשפט לבקשתה של חברה גנרית (אוניפארם) למתן צו חשבונות כנגד חברת תרופות </w:t>
      </w:r>
      <w:proofErr w:type="spellStart"/>
      <w:r w:rsidR="00F215A5" w:rsidRPr="005F3228">
        <w:rPr>
          <w:rFonts w:ascii="David" w:hAnsi="David" w:cs="David"/>
          <w:sz w:val="24"/>
          <w:szCs w:val="24"/>
          <w:rtl/>
        </w:rPr>
        <w:t>אינובטיבית</w:t>
      </w:r>
      <w:proofErr w:type="spellEnd"/>
      <w:r w:rsidR="00F215A5" w:rsidRPr="005F3228">
        <w:rPr>
          <w:rFonts w:ascii="David" w:hAnsi="David" w:cs="David"/>
          <w:sz w:val="24"/>
          <w:szCs w:val="24"/>
          <w:rtl/>
        </w:rPr>
        <w:t xml:space="preserve"> (</w:t>
      </w:r>
      <w:proofErr w:type="spellStart"/>
      <w:r w:rsidR="00F215A5" w:rsidRPr="005F3228">
        <w:rPr>
          <w:rFonts w:ascii="David" w:hAnsi="David" w:cs="David"/>
          <w:sz w:val="24"/>
          <w:szCs w:val="24"/>
          <w:rtl/>
        </w:rPr>
        <w:t>סאנופי</w:t>
      </w:r>
      <w:proofErr w:type="spellEnd"/>
      <w:r w:rsidR="00F215A5" w:rsidRPr="005F3228">
        <w:rPr>
          <w:rFonts w:ascii="David" w:hAnsi="David" w:cs="David"/>
          <w:sz w:val="24"/>
          <w:szCs w:val="24"/>
          <w:rtl/>
        </w:rPr>
        <w:t>) שפעלה לשם הארכת תקופת הבלעדיות בשוק מכוח דיני הפטנטים.</w:t>
      </w:r>
      <w:r w:rsidR="00F215A5" w:rsidRPr="005F3228">
        <w:rPr>
          <w:rStyle w:val="FootnoteReference"/>
          <w:rFonts w:ascii="David" w:hAnsi="David" w:cs="David"/>
          <w:sz w:val="24"/>
          <w:szCs w:val="24"/>
          <w:rtl/>
        </w:rPr>
        <w:footnoteReference w:id="118"/>
      </w:r>
      <w:r w:rsidR="00F215A5" w:rsidRPr="005F3228">
        <w:rPr>
          <w:rFonts w:ascii="David" w:hAnsi="David" w:cs="David"/>
          <w:sz w:val="24"/>
          <w:szCs w:val="24"/>
          <w:rtl/>
        </w:rPr>
        <w:t xml:space="preserve"> </w:t>
      </w:r>
      <w:r w:rsidR="0026310C" w:rsidRPr="005F3228">
        <w:rPr>
          <w:rFonts w:ascii="David" w:hAnsi="David" w:cs="David" w:hint="cs"/>
          <w:sz w:val="24"/>
          <w:szCs w:val="24"/>
          <w:rtl/>
        </w:rPr>
        <w:t xml:space="preserve"> </w:t>
      </w:r>
    </w:p>
    <w:p w14:paraId="3FE4B3A3" w14:textId="7D2966AD" w:rsidR="00F215A5" w:rsidRPr="005F3228" w:rsidRDefault="00F215A5" w:rsidP="00475F86">
      <w:pPr>
        <w:spacing w:line="300" w:lineRule="exact"/>
        <w:jc w:val="both"/>
        <w:rPr>
          <w:rFonts w:ascii="David" w:hAnsi="David" w:cs="David"/>
          <w:sz w:val="24"/>
          <w:szCs w:val="24"/>
          <w:rtl/>
        </w:rPr>
      </w:pPr>
      <w:r w:rsidRPr="005F3228">
        <w:rPr>
          <w:rFonts w:ascii="David" w:hAnsi="David" w:cs="David"/>
          <w:sz w:val="24"/>
          <w:szCs w:val="24"/>
          <w:rtl/>
        </w:rPr>
        <w:t xml:space="preserve">השופט </w:t>
      </w:r>
      <w:proofErr w:type="spellStart"/>
      <w:r w:rsidRPr="005F3228">
        <w:rPr>
          <w:rFonts w:ascii="David" w:hAnsi="David" w:cs="David"/>
          <w:sz w:val="24"/>
          <w:szCs w:val="24"/>
          <w:rtl/>
        </w:rPr>
        <w:t>גרוסקופף</w:t>
      </w:r>
      <w:proofErr w:type="spellEnd"/>
      <w:r w:rsidRPr="005F3228">
        <w:rPr>
          <w:rFonts w:ascii="David" w:hAnsi="David" w:cs="David"/>
          <w:sz w:val="24"/>
          <w:szCs w:val="24"/>
          <w:rtl/>
        </w:rPr>
        <w:t xml:space="preserve"> שדן בהליך קבע כי </w:t>
      </w:r>
      <w:proofErr w:type="spellStart"/>
      <w:r w:rsidRPr="005F3228">
        <w:rPr>
          <w:rFonts w:ascii="David" w:hAnsi="David" w:cs="David"/>
          <w:sz w:val="24"/>
          <w:szCs w:val="24"/>
          <w:rtl/>
        </w:rPr>
        <w:t>סאנופי</w:t>
      </w:r>
      <w:proofErr w:type="spellEnd"/>
      <w:r w:rsidRPr="005F3228">
        <w:rPr>
          <w:rFonts w:ascii="David" w:hAnsi="David" w:cs="David"/>
          <w:sz w:val="24"/>
          <w:szCs w:val="24"/>
          <w:rtl/>
        </w:rPr>
        <w:t xml:space="preserve"> הטעתה את רשם הפטנטים והעלימה ממנו מידע מהותי במסגרת הליך רישום פטנט, ובכך הקשתה על כניסת </w:t>
      </w:r>
      <w:r w:rsidR="00B8135F" w:rsidRPr="005F3228">
        <w:rPr>
          <w:rFonts w:ascii="David" w:hAnsi="David" w:cs="David" w:hint="cs"/>
          <w:sz w:val="24"/>
          <w:szCs w:val="24"/>
          <w:rtl/>
        </w:rPr>
        <w:t>מתחרים גנריים</w:t>
      </w:r>
      <w:r w:rsidR="00B8135F" w:rsidRPr="005F3228">
        <w:rPr>
          <w:rFonts w:ascii="David" w:hAnsi="David" w:cs="David"/>
          <w:sz w:val="24"/>
          <w:szCs w:val="24"/>
          <w:rtl/>
        </w:rPr>
        <w:t xml:space="preserve"> </w:t>
      </w:r>
      <w:r w:rsidRPr="005F3228">
        <w:rPr>
          <w:rFonts w:ascii="David" w:hAnsi="David" w:cs="David"/>
          <w:sz w:val="24"/>
          <w:szCs w:val="24"/>
          <w:rtl/>
        </w:rPr>
        <w:t xml:space="preserve">לשוק. נקבע כי ההטעיה שנעשתה על-ידי </w:t>
      </w:r>
      <w:proofErr w:type="spellStart"/>
      <w:r w:rsidRPr="005F3228">
        <w:rPr>
          <w:rFonts w:ascii="David" w:hAnsi="David" w:cs="David"/>
          <w:sz w:val="24"/>
          <w:szCs w:val="24"/>
          <w:rtl/>
        </w:rPr>
        <w:t>סאנופי</w:t>
      </w:r>
      <w:proofErr w:type="spellEnd"/>
      <w:r w:rsidRPr="005F3228">
        <w:rPr>
          <w:rFonts w:ascii="David" w:hAnsi="David" w:cs="David"/>
          <w:sz w:val="24"/>
          <w:szCs w:val="24"/>
          <w:rtl/>
        </w:rPr>
        <w:t xml:space="preserve"> </w:t>
      </w:r>
      <w:r w:rsidR="00B8135F" w:rsidRPr="005F3228">
        <w:rPr>
          <w:rFonts w:ascii="David" w:hAnsi="David" w:cs="David" w:hint="cs"/>
          <w:sz w:val="24"/>
          <w:szCs w:val="24"/>
          <w:rtl/>
        </w:rPr>
        <w:t>מנוגדת ל</w:t>
      </w:r>
      <w:r w:rsidRPr="005F3228">
        <w:rPr>
          <w:rFonts w:ascii="David" w:hAnsi="David" w:cs="David"/>
          <w:sz w:val="24"/>
          <w:szCs w:val="24"/>
          <w:rtl/>
        </w:rPr>
        <w:t xml:space="preserve">דיני הפטנטים </w:t>
      </w:r>
      <w:r w:rsidR="00B8135F" w:rsidRPr="005F3228">
        <w:rPr>
          <w:rFonts w:ascii="David" w:hAnsi="David" w:cs="David" w:hint="cs"/>
          <w:sz w:val="24"/>
          <w:szCs w:val="24"/>
          <w:rtl/>
        </w:rPr>
        <w:t>ול</w:t>
      </w:r>
      <w:r w:rsidRPr="005F3228">
        <w:rPr>
          <w:rFonts w:ascii="David" w:hAnsi="David" w:cs="David"/>
          <w:sz w:val="24"/>
          <w:szCs w:val="24"/>
          <w:rtl/>
        </w:rPr>
        <w:t>דיני ההגבלים העסקיים.</w:t>
      </w:r>
      <w:r w:rsidRPr="005F3228">
        <w:rPr>
          <w:rStyle w:val="FootnoteReference"/>
          <w:rFonts w:ascii="David" w:hAnsi="David" w:cs="David"/>
          <w:sz w:val="24"/>
          <w:szCs w:val="24"/>
          <w:rtl/>
        </w:rPr>
        <w:footnoteReference w:id="119"/>
      </w:r>
      <w:r w:rsidRPr="005F3228">
        <w:rPr>
          <w:rFonts w:ascii="David" w:hAnsi="David" w:cs="David"/>
          <w:sz w:val="24"/>
          <w:szCs w:val="24"/>
          <w:rtl/>
        </w:rPr>
        <w:t xml:space="preserve"> עם זאת, מאחר שהן דיני הפטנטים והן דיני ההגבלים העסקיים אינם מקנים סעד של השבת רווחים בנסיבות העניין, פנה בית המשפט לדיני עשיית עושר לשם בחינת האפשרות למתן סעד כזה, </w:t>
      </w:r>
      <w:r w:rsidR="00BE6F3C" w:rsidRPr="005F3228">
        <w:rPr>
          <w:rFonts w:ascii="David" w:hAnsi="David" w:cs="David" w:hint="cs"/>
          <w:sz w:val="24"/>
          <w:szCs w:val="24"/>
          <w:rtl/>
        </w:rPr>
        <w:t>תוך קביעה</w:t>
      </w:r>
      <w:r w:rsidRPr="005F3228">
        <w:rPr>
          <w:rFonts w:ascii="David" w:hAnsi="David" w:cs="David"/>
          <w:sz w:val="24"/>
          <w:szCs w:val="24"/>
          <w:rtl/>
        </w:rPr>
        <w:t xml:space="preserve"> שהיעדר סעד </w:t>
      </w:r>
      <w:r w:rsidR="00475F86" w:rsidRPr="005F3228">
        <w:rPr>
          <w:rFonts w:ascii="David" w:hAnsi="David" w:cs="David" w:hint="cs"/>
          <w:sz w:val="24"/>
          <w:szCs w:val="24"/>
          <w:rtl/>
        </w:rPr>
        <w:t>של השבת רווחים</w:t>
      </w:r>
      <w:r w:rsidR="00475F86" w:rsidRPr="005F3228">
        <w:rPr>
          <w:rFonts w:ascii="David" w:hAnsi="David" w:cs="David"/>
          <w:sz w:val="24"/>
          <w:szCs w:val="24"/>
          <w:rtl/>
        </w:rPr>
        <w:t xml:space="preserve"> </w:t>
      </w:r>
      <w:r w:rsidRPr="005F3228">
        <w:rPr>
          <w:rFonts w:ascii="David" w:hAnsi="David" w:cs="David"/>
          <w:sz w:val="24"/>
          <w:szCs w:val="24"/>
          <w:rtl/>
        </w:rPr>
        <w:t xml:space="preserve">מכוח הדינים </w:t>
      </w:r>
      <w:r w:rsidR="00037E7A" w:rsidRPr="005F3228">
        <w:rPr>
          <w:rFonts w:ascii="David" w:hAnsi="David" w:cs="David" w:hint="cs"/>
          <w:sz w:val="24"/>
          <w:szCs w:val="24"/>
          <w:rtl/>
        </w:rPr>
        <w:t>האמורים</w:t>
      </w:r>
      <w:r w:rsidR="00037E7A" w:rsidRPr="005F3228">
        <w:rPr>
          <w:rFonts w:ascii="David" w:hAnsi="David" w:cs="David"/>
          <w:sz w:val="24"/>
          <w:szCs w:val="24"/>
          <w:rtl/>
        </w:rPr>
        <w:t xml:space="preserve"> </w:t>
      </w:r>
      <w:r w:rsidRPr="005F3228">
        <w:rPr>
          <w:rFonts w:ascii="David" w:hAnsi="David" w:cs="David"/>
          <w:sz w:val="24"/>
          <w:szCs w:val="24"/>
          <w:rtl/>
        </w:rPr>
        <w:t>לא יוצר הסדר שלילי לעניין זה.</w:t>
      </w:r>
      <w:r w:rsidRPr="005F3228">
        <w:rPr>
          <w:rStyle w:val="FootnoteReference"/>
          <w:rFonts w:ascii="David" w:hAnsi="David" w:cs="David"/>
          <w:sz w:val="24"/>
          <w:szCs w:val="24"/>
          <w:rtl/>
        </w:rPr>
        <w:footnoteReference w:id="120"/>
      </w:r>
      <w:r w:rsidRPr="005F3228">
        <w:rPr>
          <w:rFonts w:ascii="David" w:hAnsi="David" w:cs="David"/>
          <w:sz w:val="24"/>
          <w:szCs w:val="24"/>
          <w:rtl/>
        </w:rPr>
        <w:t xml:space="preserve"> בית המשפט </w:t>
      </w:r>
      <w:r w:rsidR="00772595" w:rsidRPr="005F3228">
        <w:rPr>
          <w:rFonts w:ascii="David" w:hAnsi="David" w:cs="David" w:hint="cs"/>
          <w:sz w:val="24"/>
          <w:szCs w:val="24"/>
          <w:rtl/>
        </w:rPr>
        <w:t xml:space="preserve">ציין </w:t>
      </w:r>
      <w:r w:rsidRPr="005F3228">
        <w:rPr>
          <w:rFonts w:ascii="David" w:hAnsi="David" w:cs="David"/>
          <w:sz w:val="24"/>
          <w:szCs w:val="24"/>
          <w:rtl/>
        </w:rPr>
        <w:t xml:space="preserve">כי אין זה מקרה בו דיני עשיית עושר משמשים לצורך הגדרת כללים משפטיים חדשים (כמו שנעשה, למשל, בעניין </w:t>
      </w:r>
      <w:r w:rsidRPr="005F3228">
        <w:rPr>
          <w:rFonts w:ascii="David" w:hAnsi="David" w:cs="David"/>
          <w:b/>
          <w:bCs/>
          <w:sz w:val="24"/>
          <w:szCs w:val="24"/>
          <w:rtl/>
        </w:rPr>
        <w:t>מקד</w:t>
      </w:r>
      <w:r w:rsidR="008C2A52" w:rsidRPr="005F3228">
        <w:rPr>
          <w:rFonts w:ascii="David" w:hAnsi="David" w:cs="David" w:hint="eastAsia"/>
          <w:b/>
          <w:bCs/>
          <w:sz w:val="24"/>
          <w:szCs w:val="24"/>
          <w:rtl/>
        </w:rPr>
        <w:t>ו</w:t>
      </w:r>
      <w:r w:rsidRPr="005F3228">
        <w:rPr>
          <w:rFonts w:ascii="David" w:hAnsi="David" w:cs="David"/>
          <w:b/>
          <w:bCs/>
          <w:sz w:val="24"/>
          <w:szCs w:val="24"/>
          <w:rtl/>
        </w:rPr>
        <w:t>נלד</w:t>
      </w:r>
      <w:r w:rsidRPr="005F3228">
        <w:rPr>
          <w:rFonts w:ascii="David" w:hAnsi="David" w:cs="David"/>
          <w:sz w:val="24"/>
          <w:szCs w:val="24"/>
          <w:rtl/>
        </w:rPr>
        <w:t>), אלא אך למתן סעד בגין הפרתם.</w:t>
      </w:r>
      <w:r w:rsidRPr="005F3228">
        <w:rPr>
          <w:rStyle w:val="FootnoteReference"/>
          <w:rFonts w:ascii="David" w:hAnsi="David" w:cs="David"/>
          <w:sz w:val="24"/>
          <w:szCs w:val="24"/>
          <w:rtl/>
        </w:rPr>
        <w:footnoteReference w:id="121"/>
      </w:r>
      <w:r w:rsidRPr="005F3228">
        <w:rPr>
          <w:rFonts w:ascii="David" w:hAnsi="David" w:cs="David"/>
          <w:sz w:val="24"/>
          <w:szCs w:val="24"/>
          <w:rtl/>
        </w:rPr>
        <w:t xml:space="preserve"> בסופו של דבר, בית המשפט הכריע כי </w:t>
      </w:r>
      <w:r w:rsidR="008C2A52" w:rsidRPr="005F3228">
        <w:rPr>
          <w:rFonts w:ascii="David" w:hAnsi="David" w:cs="David" w:hint="cs"/>
          <w:sz w:val="24"/>
          <w:szCs w:val="24"/>
          <w:rtl/>
        </w:rPr>
        <w:t>הפעולות שעשתה הנתבעת</w:t>
      </w:r>
      <w:r w:rsidRPr="005F3228">
        <w:rPr>
          <w:rFonts w:ascii="David" w:hAnsi="David" w:cs="David"/>
          <w:sz w:val="24"/>
          <w:szCs w:val="24"/>
          <w:rtl/>
        </w:rPr>
        <w:t xml:space="preserve"> במטרה להביא להארכה דה-פקטו של תקופת </w:t>
      </w:r>
      <w:r w:rsidRPr="005F3228">
        <w:rPr>
          <w:rFonts w:ascii="David" w:hAnsi="David" w:cs="David"/>
          <w:sz w:val="24"/>
          <w:szCs w:val="24"/>
          <w:rtl/>
        </w:rPr>
        <w:lastRenderedPageBreak/>
        <w:t xml:space="preserve">המונופולין </w:t>
      </w:r>
      <w:r w:rsidR="00C16B6B" w:rsidRPr="005F3228">
        <w:rPr>
          <w:rFonts w:ascii="David" w:hAnsi="David" w:cs="David" w:hint="cs"/>
          <w:sz w:val="24"/>
          <w:szCs w:val="24"/>
          <w:rtl/>
        </w:rPr>
        <w:t xml:space="preserve">שלה </w:t>
      </w:r>
      <w:r w:rsidR="008C2A52" w:rsidRPr="005F3228">
        <w:rPr>
          <w:rFonts w:ascii="David" w:hAnsi="David" w:cs="David"/>
          <w:sz w:val="24"/>
          <w:szCs w:val="24"/>
          <w:rtl/>
        </w:rPr>
        <w:t>מהוו</w:t>
      </w:r>
      <w:r w:rsidR="008C2A52" w:rsidRPr="005F3228">
        <w:rPr>
          <w:rFonts w:ascii="David" w:hAnsi="David" w:cs="David" w:hint="cs"/>
          <w:sz w:val="24"/>
          <w:szCs w:val="24"/>
          <w:rtl/>
        </w:rPr>
        <w:t>ת</w:t>
      </w:r>
      <w:r w:rsidR="008C2A52" w:rsidRPr="005F3228">
        <w:rPr>
          <w:rFonts w:ascii="David" w:hAnsi="David" w:cs="David"/>
          <w:sz w:val="24"/>
          <w:szCs w:val="24"/>
          <w:rtl/>
        </w:rPr>
        <w:t xml:space="preserve"> </w:t>
      </w:r>
      <w:r w:rsidR="008C2A52" w:rsidRPr="005F3228">
        <w:rPr>
          <w:rFonts w:ascii="David" w:hAnsi="David" w:cs="David" w:hint="cs"/>
          <w:sz w:val="24"/>
          <w:szCs w:val="24"/>
          <w:rtl/>
        </w:rPr>
        <w:t>עשיית עושר ולא במשפט,</w:t>
      </w:r>
      <w:r w:rsidRPr="005F3228">
        <w:rPr>
          <w:rFonts w:ascii="David" w:hAnsi="David" w:cs="David"/>
          <w:sz w:val="24"/>
          <w:szCs w:val="24"/>
          <w:rtl/>
        </w:rPr>
        <w:t xml:space="preserve"> </w:t>
      </w:r>
      <w:r w:rsidR="008C2A52" w:rsidRPr="005F3228">
        <w:rPr>
          <w:rFonts w:ascii="David" w:hAnsi="David" w:cs="David" w:hint="cs"/>
          <w:sz w:val="24"/>
          <w:szCs w:val="24"/>
          <w:rtl/>
        </w:rPr>
        <w:t>וכי ה</w:t>
      </w:r>
      <w:r w:rsidR="00C16B6B" w:rsidRPr="005F3228">
        <w:rPr>
          <w:rFonts w:ascii="David" w:hAnsi="David" w:cs="David" w:hint="cs"/>
          <w:sz w:val="24"/>
          <w:szCs w:val="24"/>
          <w:rtl/>
        </w:rPr>
        <w:t>מתחרה הגנרית</w:t>
      </w:r>
      <w:r w:rsidR="008C2A52" w:rsidRPr="005F3228">
        <w:rPr>
          <w:rFonts w:ascii="David" w:hAnsi="David" w:cs="David" w:hint="cs"/>
          <w:sz w:val="24"/>
          <w:szCs w:val="24"/>
          <w:rtl/>
        </w:rPr>
        <w:t xml:space="preserve"> יכולה להצליח ב</w:t>
      </w:r>
      <w:r w:rsidR="008C2A52" w:rsidRPr="005F3228">
        <w:rPr>
          <w:rFonts w:ascii="David" w:hAnsi="David" w:cs="David"/>
          <w:sz w:val="24"/>
          <w:szCs w:val="24"/>
          <w:rtl/>
        </w:rPr>
        <w:t xml:space="preserve">תביעה </w:t>
      </w:r>
      <w:r w:rsidRPr="005F3228">
        <w:rPr>
          <w:rFonts w:ascii="David" w:hAnsi="David" w:cs="David"/>
          <w:sz w:val="24"/>
          <w:szCs w:val="24"/>
          <w:rtl/>
        </w:rPr>
        <w:t>ל</w:t>
      </w:r>
      <w:r w:rsidR="008C2A52" w:rsidRPr="005F3228">
        <w:rPr>
          <w:rFonts w:ascii="David" w:hAnsi="David" w:cs="David" w:hint="cs"/>
          <w:sz w:val="24"/>
          <w:szCs w:val="24"/>
          <w:rtl/>
        </w:rPr>
        <w:t xml:space="preserve">השבת </w:t>
      </w:r>
      <w:r w:rsidRPr="005F3228">
        <w:rPr>
          <w:rFonts w:ascii="David" w:hAnsi="David" w:cs="David"/>
          <w:sz w:val="24"/>
          <w:szCs w:val="24"/>
          <w:rtl/>
        </w:rPr>
        <w:t xml:space="preserve">רווחי </w:t>
      </w:r>
      <w:r w:rsidR="00C16B6B" w:rsidRPr="005F3228">
        <w:rPr>
          <w:rFonts w:ascii="David" w:hAnsi="David" w:cs="David" w:hint="cs"/>
          <w:sz w:val="24"/>
          <w:szCs w:val="24"/>
          <w:rtl/>
        </w:rPr>
        <w:t>התובעת</w:t>
      </w:r>
      <w:r w:rsidR="00C16B6B" w:rsidRPr="005F3228">
        <w:rPr>
          <w:rFonts w:ascii="David" w:hAnsi="David" w:cs="David"/>
          <w:sz w:val="24"/>
          <w:szCs w:val="24"/>
          <w:rtl/>
        </w:rPr>
        <w:t xml:space="preserve"> </w:t>
      </w:r>
      <w:r w:rsidRPr="005F3228">
        <w:rPr>
          <w:rFonts w:ascii="David" w:hAnsi="David" w:cs="David"/>
          <w:sz w:val="24"/>
          <w:szCs w:val="24"/>
          <w:rtl/>
        </w:rPr>
        <w:t>ב</w:t>
      </w:r>
      <w:r w:rsidR="008C2A52" w:rsidRPr="005F3228">
        <w:rPr>
          <w:rFonts w:ascii="David" w:hAnsi="David" w:cs="David" w:hint="cs"/>
          <w:sz w:val="24"/>
          <w:szCs w:val="24"/>
          <w:rtl/>
        </w:rPr>
        <w:t>גין ה</w:t>
      </w:r>
      <w:r w:rsidRPr="005F3228">
        <w:rPr>
          <w:rFonts w:ascii="David" w:hAnsi="David" w:cs="David"/>
          <w:sz w:val="24"/>
          <w:szCs w:val="24"/>
          <w:rtl/>
        </w:rPr>
        <w:t xml:space="preserve">תקופה בה נוצר עיכוב שלא כדין בכניסה </w:t>
      </w:r>
      <w:r w:rsidR="00C16B6B" w:rsidRPr="005F3228">
        <w:rPr>
          <w:rFonts w:ascii="David" w:hAnsi="David" w:cs="David" w:hint="cs"/>
          <w:sz w:val="24"/>
          <w:szCs w:val="24"/>
          <w:rtl/>
        </w:rPr>
        <w:t xml:space="preserve">הגנרית </w:t>
      </w:r>
      <w:r w:rsidRPr="005F3228">
        <w:rPr>
          <w:rFonts w:ascii="David" w:hAnsi="David" w:cs="David"/>
          <w:sz w:val="24"/>
          <w:szCs w:val="24"/>
          <w:rtl/>
        </w:rPr>
        <w:t>לשוק.</w:t>
      </w:r>
      <w:r w:rsidRPr="005F3228">
        <w:rPr>
          <w:rStyle w:val="FootnoteReference"/>
          <w:rFonts w:ascii="David" w:hAnsi="David" w:cs="David"/>
          <w:sz w:val="24"/>
          <w:szCs w:val="24"/>
          <w:rtl/>
        </w:rPr>
        <w:footnoteReference w:id="122"/>
      </w:r>
      <w:r w:rsidRPr="005F3228">
        <w:rPr>
          <w:rFonts w:ascii="David" w:hAnsi="David" w:cs="David"/>
          <w:sz w:val="24"/>
          <w:szCs w:val="24"/>
          <w:rtl/>
        </w:rPr>
        <w:t xml:space="preserve"> בין השיקולים התומכים בהכרה בעשיית עושר בנסיבות העניין, הזכיר השופט את הצורך בהרתעת בעלי פטנטים מפני </w:t>
      </w:r>
      <w:proofErr w:type="spellStart"/>
      <w:r w:rsidRPr="005F3228">
        <w:rPr>
          <w:rFonts w:ascii="David" w:hAnsi="David" w:cs="David"/>
          <w:sz w:val="24"/>
          <w:szCs w:val="24"/>
          <w:rtl/>
        </w:rPr>
        <w:t>פרקטיקות</w:t>
      </w:r>
      <w:proofErr w:type="spellEnd"/>
      <w:r w:rsidRPr="005F3228">
        <w:rPr>
          <w:rFonts w:ascii="David" w:hAnsi="David" w:cs="David"/>
          <w:sz w:val="24"/>
          <w:szCs w:val="24"/>
          <w:rtl/>
        </w:rPr>
        <w:t xml:space="preserve"> פסולות שנועדו לשימור המעמד המונופולי</w:t>
      </w:r>
      <w:r w:rsidR="00324927" w:rsidRPr="005F3228">
        <w:rPr>
          <w:rFonts w:ascii="David" w:hAnsi="David" w:cs="David" w:hint="cs"/>
          <w:sz w:val="24"/>
          <w:szCs w:val="24"/>
          <w:rtl/>
        </w:rPr>
        <w:t>ס</w:t>
      </w:r>
      <w:r w:rsidRPr="005F3228">
        <w:rPr>
          <w:rFonts w:ascii="David" w:hAnsi="David" w:cs="David"/>
          <w:sz w:val="24"/>
          <w:szCs w:val="24"/>
          <w:rtl/>
        </w:rPr>
        <w:t>טי; את הצורך במתן תמריצים למ</w:t>
      </w:r>
      <w:r w:rsidR="00DD3544" w:rsidRPr="005F3228">
        <w:rPr>
          <w:rFonts w:ascii="David" w:hAnsi="David" w:cs="David" w:hint="cs"/>
          <w:sz w:val="24"/>
          <w:szCs w:val="24"/>
          <w:rtl/>
        </w:rPr>
        <w:t>ת</w:t>
      </w:r>
      <w:r w:rsidRPr="005F3228">
        <w:rPr>
          <w:rFonts w:ascii="David" w:hAnsi="David" w:cs="David"/>
          <w:sz w:val="24"/>
          <w:szCs w:val="24"/>
          <w:rtl/>
        </w:rPr>
        <w:t>חרים להגשת וניהול תביעות כנגד בעלי פטנטים הנוהגים כך; ואת האינטרס הציבורי בפתיחת השוק לתחרות מצד חברות גנריות.</w:t>
      </w:r>
      <w:r w:rsidRPr="005F3228">
        <w:rPr>
          <w:rStyle w:val="FootnoteReference"/>
          <w:rFonts w:ascii="David" w:hAnsi="David" w:cs="David"/>
          <w:sz w:val="24"/>
          <w:szCs w:val="24"/>
          <w:rtl/>
        </w:rPr>
        <w:footnoteReference w:id="123"/>
      </w:r>
      <w:r w:rsidRPr="005F3228">
        <w:rPr>
          <w:rFonts w:ascii="David" w:hAnsi="David" w:cs="David"/>
          <w:sz w:val="24"/>
          <w:szCs w:val="24"/>
          <w:rtl/>
        </w:rPr>
        <w:t xml:space="preserve"> </w:t>
      </w:r>
      <w:r w:rsidR="005327CE" w:rsidRPr="005F3228">
        <w:rPr>
          <w:rFonts w:ascii="David" w:hAnsi="David" w:cs="David" w:hint="cs"/>
          <w:sz w:val="24"/>
          <w:szCs w:val="24"/>
          <w:rtl/>
        </w:rPr>
        <w:t xml:space="preserve">להשלמת התמונה יצוין כי </w:t>
      </w:r>
      <w:r w:rsidR="00DD3544" w:rsidRPr="005F3228">
        <w:rPr>
          <w:rFonts w:ascii="David" w:hAnsi="David" w:cs="David" w:hint="cs"/>
          <w:sz w:val="24"/>
          <w:szCs w:val="24"/>
          <w:rtl/>
        </w:rPr>
        <w:t>ב</w:t>
      </w:r>
      <w:r w:rsidR="005327CE" w:rsidRPr="005F3228">
        <w:rPr>
          <w:rFonts w:ascii="David" w:hAnsi="David" w:cs="David" w:hint="cs"/>
          <w:sz w:val="24"/>
          <w:szCs w:val="24"/>
          <w:rtl/>
        </w:rPr>
        <w:t>מקרה דומה, שנדון בבית המשפט המחוזי בתל אביב, הגיע בית המשפט לתוצאה שונה ודחה את תביעת היצרן הגנרי,</w:t>
      </w:r>
      <w:r w:rsidR="00824BB1" w:rsidRPr="005F3228">
        <w:rPr>
          <w:rStyle w:val="FootnoteReference"/>
          <w:rFonts w:ascii="David" w:hAnsi="David" w:cs="David"/>
          <w:sz w:val="24"/>
          <w:szCs w:val="24"/>
          <w:rtl/>
        </w:rPr>
        <w:footnoteReference w:id="124"/>
      </w:r>
      <w:r w:rsidR="005327CE" w:rsidRPr="005F3228">
        <w:rPr>
          <w:rFonts w:ascii="David" w:hAnsi="David" w:cs="David" w:hint="cs"/>
          <w:sz w:val="24"/>
          <w:szCs w:val="24"/>
          <w:rtl/>
        </w:rPr>
        <w:t xml:space="preserve"> וכי </w:t>
      </w:r>
      <w:r w:rsidR="005327CE" w:rsidRPr="005F3228">
        <w:rPr>
          <w:rFonts w:ascii="David" w:hAnsi="David" w:cs="David"/>
          <w:sz w:val="24"/>
          <w:szCs w:val="24"/>
          <w:rtl/>
        </w:rPr>
        <w:t xml:space="preserve">ערעור על </w:t>
      </w:r>
      <w:r w:rsidR="005327CE" w:rsidRPr="005F3228">
        <w:rPr>
          <w:rFonts w:ascii="David" w:hAnsi="David" w:cs="David" w:hint="cs"/>
          <w:sz w:val="24"/>
          <w:szCs w:val="24"/>
          <w:rtl/>
        </w:rPr>
        <w:t xml:space="preserve">שני </w:t>
      </w:r>
      <w:r w:rsidR="005327CE" w:rsidRPr="005F3228">
        <w:rPr>
          <w:rFonts w:ascii="David" w:hAnsi="David" w:cs="David"/>
          <w:sz w:val="24"/>
          <w:szCs w:val="24"/>
          <w:rtl/>
        </w:rPr>
        <w:t>פסק</w:t>
      </w:r>
      <w:r w:rsidR="005327CE" w:rsidRPr="005F3228">
        <w:rPr>
          <w:rFonts w:ascii="David" w:hAnsi="David" w:cs="David" w:hint="cs"/>
          <w:sz w:val="24"/>
          <w:szCs w:val="24"/>
          <w:rtl/>
        </w:rPr>
        <w:t>י</w:t>
      </w:r>
      <w:r w:rsidR="005327CE" w:rsidRPr="005F3228">
        <w:rPr>
          <w:rFonts w:ascii="David" w:hAnsi="David" w:cs="David"/>
          <w:sz w:val="24"/>
          <w:szCs w:val="24"/>
          <w:rtl/>
        </w:rPr>
        <w:t xml:space="preserve"> הדין תלוי ועומד בבית המשפט העליון.</w:t>
      </w:r>
      <w:r w:rsidR="00F316C7" w:rsidRPr="005F3228">
        <w:rPr>
          <w:rStyle w:val="FootnoteReference"/>
          <w:rFonts w:ascii="David" w:hAnsi="David" w:cs="David"/>
          <w:sz w:val="24"/>
          <w:szCs w:val="24"/>
          <w:rtl/>
        </w:rPr>
        <w:footnoteReference w:id="125"/>
      </w:r>
    </w:p>
    <w:p w14:paraId="43CC5D57" w14:textId="2B11DF82" w:rsidR="00F215A5" w:rsidRPr="005F3228" w:rsidRDefault="00CA396A" w:rsidP="00CA396A">
      <w:pPr>
        <w:spacing w:line="300" w:lineRule="exact"/>
        <w:jc w:val="both"/>
        <w:rPr>
          <w:rFonts w:ascii="David" w:hAnsi="David" w:cs="David"/>
          <w:sz w:val="24"/>
          <w:szCs w:val="24"/>
          <w:rtl/>
        </w:rPr>
      </w:pPr>
      <w:r w:rsidRPr="005F3228">
        <w:rPr>
          <w:rFonts w:ascii="David" w:hAnsi="David" w:cs="David" w:hint="cs"/>
          <w:sz w:val="24"/>
          <w:szCs w:val="24"/>
          <w:rtl/>
        </w:rPr>
        <w:t>ההחלטה</w:t>
      </w:r>
      <w:r w:rsidR="00F215A5" w:rsidRPr="005F3228">
        <w:rPr>
          <w:rFonts w:ascii="David" w:hAnsi="David" w:cs="David"/>
          <w:sz w:val="24"/>
          <w:szCs w:val="24"/>
          <w:rtl/>
        </w:rPr>
        <w:t xml:space="preserve"> בעניין </w:t>
      </w:r>
      <w:r w:rsidR="00F215A5" w:rsidRPr="005F3228">
        <w:rPr>
          <w:rFonts w:ascii="David" w:hAnsi="David" w:cs="David"/>
          <w:b/>
          <w:bCs/>
          <w:sz w:val="24"/>
          <w:szCs w:val="24"/>
          <w:rtl/>
        </w:rPr>
        <w:t xml:space="preserve">אוניפארם </w:t>
      </w:r>
      <w:r w:rsidR="00F215A5" w:rsidRPr="005F3228">
        <w:rPr>
          <w:rFonts w:ascii="David" w:hAnsi="David" w:cs="David"/>
          <w:sz w:val="24"/>
          <w:szCs w:val="24"/>
          <w:rtl/>
        </w:rPr>
        <w:t xml:space="preserve">עושה, אם כן, שימוש בדיני עשיית עושר לא לצורך הכרה בזכויותיו של בעל תוצר רוחני או הרחבתן, אלא להיפך—לצורך </w:t>
      </w:r>
      <w:r w:rsidR="00A57B2B" w:rsidRPr="005F3228">
        <w:rPr>
          <w:rFonts w:ascii="David" w:hAnsi="David" w:cs="David" w:hint="cs"/>
          <w:sz w:val="24"/>
          <w:szCs w:val="24"/>
          <w:rtl/>
        </w:rPr>
        <w:t>ריסונן</w:t>
      </w:r>
      <w:r w:rsidR="00F215A5" w:rsidRPr="005F3228">
        <w:rPr>
          <w:rFonts w:ascii="David" w:hAnsi="David" w:cs="David"/>
          <w:sz w:val="24"/>
          <w:szCs w:val="24"/>
          <w:rtl/>
        </w:rPr>
        <w:t xml:space="preserve"> של זכויות אלה.</w:t>
      </w:r>
      <w:r w:rsidR="00F215A5" w:rsidRPr="005F3228">
        <w:rPr>
          <w:rStyle w:val="FootnoteReference"/>
          <w:rFonts w:ascii="David" w:hAnsi="David" w:cs="David"/>
          <w:sz w:val="24"/>
          <w:szCs w:val="24"/>
          <w:rtl/>
        </w:rPr>
        <w:footnoteReference w:id="126"/>
      </w:r>
      <w:r w:rsidR="00F215A5" w:rsidRPr="005F3228">
        <w:rPr>
          <w:rFonts w:ascii="David" w:hAnsi="David" w:cs="David"/>
          <w:color w:val="222222"/>
          <w:sz w:val="24"/>
          <w:szCs w:val="24"/>
          <w:rtl/>
        </w:rPr>
        <w:t xml:space="preserve"> </w:t>
      </w:r>
      <w:r w:rsidR="00324927" w:rsidRPr="005F3228">
        <w:rPr>
          <w:rFonts w:ascii="David" w:hAnsi="David" w:cs="David" w:hint="cs"/>
          <w:color w:val="222222"/>
          <w:sz w:val="24"/>
          <w:szCs w:val="24"/>
          <w:rtl/>
        </w:rPr>
        <w:t xml:space="preserve">ככזה, </w:t>
      </w:r>
      <w:r w:rsidR="00510836" w:rsidRPr="005F3228">
        <w:rPr>
          <w:rFonts w:ascii="David" w:hAnsi="David" w:cs="David" w:hint="cs"/>
          <w:color w:val="222222"/>
          <w:sz w:val="24"/>
          <w:szCs w:val="24"/>
          <w:rtl/>
        </w:rPr>
        <w:t>ה</w:t>
      </w:r>
      <w:r w:rsidR="00346031" w:rsidRPr="005F3228">
        <w:rPr>
          <w:rFonts w:ascii="David" w:hAnsi="David" w:cs="David" w:hint="cs"/>
          <w:color w:val="222222"/>
          <w:sz w:val="24"/>
          <w:szCs w:val="24"/>
          <w:rtl/>
        </w:rPr>
        <w:t>י</w:t>
      </w:r>
      <w:r w:rsidR="00510836" w:rsidRPr="005F3228">
        <w:rPr>
          <w:rFonts w:ascii="David" w:hAnsi="David" w:cs="David" w:hint="cs"/>
          <w:color w:val="222222"/>
          <w:sz w:val="24"/>
          <w:szCs w:val="24"/>
          <w:rtl/>
        </w:rPr>
        <w:t>א</w:t>
      </w:r>
      <w:r w:rsidR="00F215A5" w:rsidRPr="005F3228">
        <w:rPr>
          <w:rFonts w:ascii="David" w:hAnsi="David" w:cs="David"/>
          <w:sz w:val="24"/>
          <w:szCs w:val="24"/>
          <w:rtl/>
        </w:rPr>
        <w:t xml:space="preserve"> </w:t>
      </w:r>
      <w:r w:rsidR="00510836" w:rsidRPr="005F3228">
        <w:rPr>
          <w:rFonts w:ascii="David" w:hAnsi="David" w:cs="David" w:hint="cs"/>
          <w:sz w:val="24"/>
          <w:szCs w:val="24"/>
          <w:rtl/>
        </w:rPr>
        <w:t>מהווה דוגמא מפתיעה ובלתי צפויה ל</w:t>
      </w:r>
      <w:r w:rsidR="000A6D65" w:rsidRPr="005F3228">
        <w:rPr>
          <w:rFonts w:ascii="David" w:hAnsi="David" w:cs="David" w:hint="cs"/>
          <w:sz w:val="24"/>
          <w:szCs w:val="24"/>
          <w:rtl/>
        </w:rPr>
        <w:t>אפשרות של יחס</w:t>
      </w:r>
      <w:r w:rsidR="00510836" w:rsidRPr="005F3228">
        <w:rPr>
          <w:rFonts w:ascii="David" w:hAnsi="David" w:cs="David" w:hint="cs"/>
          <w:sz w:val="24"/>
          <w:szCs w:val="24"/>
          <w:rtl/>
        </w:rPr>
        <w:t xml:space="preserve"> "הופכי" ב</w:t>
      </w:r>
      <w:r w:rsidR="000A6D65" w:rsidRPr="005F3228">
        <w:rPr>
          <w:rFonts w:ascii="David" w:hAnsi="David" w:cs="David" w:hint="cs"/>
          <w:sz w:val="24"/>
          <w:szCs w:val="24"/>
          <w:rtl/>
        </w:rPr>
        <w:t xml:space="preserve">ין </w:t>
      </w:r>
      <w:r w:rsidR="00510836" w:rsidRPr="005F3228">
        <w:rPr>
          <w:rFonts w:ascii="David" w:hAnsi="David" w:cs="David" w:hint="cs"/>
          <w:sz w:val="24"/>
          <w:szCs w:val="24"/>
          <w:rtl/>
        </w:rPr>
        <w:t>דיני עשיית עושר ולא במשפט</w:t>
      </w:r>
      <w:r w:rsidR="000A6D65" w:rsidRPr="005F3228">
        <w:rPr>
          <w:rFonts w:ascii="David" w:hAnsi="David" w:cs="David" w:hint="cs"/>
          <w:sz w:val="24"/>
          <w:szCs w:val="24"/>
          <w:rtl/>
        </w:rPr>
        <w:t xml:space="preserve"> לבין דיני הקניין הרוחני.</w:t>
      </w:r>
      <w:r w:rsidR="00AE2AE2" w:rsidRPr="005F3228">
        <w:rPr>
          <w:rStyle w:val="FootnoteReference"/>
          <w:rFonts w:ascii="David" w:hAnsi="David" w:cs="David"/>
          <w:sz w:val="24"/>
          <w:szCs w:val="24"/>
          <w:rtl/>
        </w:rPr>
        <w:footnoteReference w:id="127"/>
      </w:r>
      <w:r w:rsidR="000A6D65" w:rsidRPr="005F3228">
        <w:rPr>
          <w:rFonts w:ascii="David" w:hAnsi="David" w:cs="David" w:hint="cs"/>
          <w:sz w:val="24"/>
          <w:szCs w:val="24"/>
          <w:rtl/>
        </w:rPr>
        <w:t xml:space="preserve"> </w:t>
      </w:r>
      <w:r w:rsidRPr="005F3228">
        <w:rPr>
          <w:rFonts w:ascii="David" w:hAnsi="David" w:cs="David" w:hint="cs"/>
          <w:sz w:val="24"/>
          <w:szCs w:val="24"/>
          <w:rtl/>
        </w:rPr>
        <w:t>ההחלטה</w:t>
      </w:r>
      <w:r w:rsidR="00475F86" w:rsidRPr="005F3228">
        <w:rPr>
          <w:rFonts w:ascii="David" w:hAnsi="David" w:cs="David" w:hint="cs"/>
          <w:sz w:val="24"/>
          <w:szCs w:val="24"/>
          <w:rtl/>
        </w:rPr>
        <w:t xml:space="preserve"> עסק</w:t>
      </w:r>
      <w:r w:rsidRPr="005F3228">
        <w:rPr>
          <w:rFonts w:ascii="David" w:hAnsi="David" w:cs="David" w:hint="cs"/>
          <w:sz w:val="24"/>
          <w:szCs w:val="24"/>
          <w:rtl/>
        </w:rPr>
        <w:t>ה</w:t>
      </w:r>
      <w:r w:rsidR="00475F86" w:rsidRPr="005F3228">
        <w:rPr>
          <w:rFonts w:ascii="David" w:hAnsi="David" w:cs="David" w:hint="cs"/>
          <w:sz w:val="24"/>
          <w:szCs w:val="24"/>
          <w:rtl/>
        </w:rPr>
        <w:t xml:space="preserve"> </w:t>
      </w:r>
      <w:r w:rsidR="00057007" w:rsidRPr="005F3228">
        <w:rPr>
          <w:rFonts w:ascii="David" w:hAnsi="David" w:cs="David" w:hint="cs"/>
          <w:sz w:val="24"/>
          <w:szCs w:val="24"/>
          <w:rtl/>
        </w:rPr>
        <w:t xml:space="preserve">אמנם </w:t>
      </w:r>
      <w:r w:rsidR="00475F86" w:rsidRPr="005F3228">
        <w:rPr>
          <w:rFonts w:ascii="David" w:hAnsi="David" w:cs="David" w:hint="cs"/>
          <w:sz w:val="24"/>
          <w:szCs w:val="24"/>
          <w:rtl/>
        </w:rPr>
        <w:t xml:space="preserve">במצב עובדתי שונה מזה שנדון בפרשיית </w:t>
      </w:r>
      <w:proofErr w:type="spellStart"/>
      <w:r w:rsidR="00475F86" w:rsidRPr="005F3228">
        <w:rPr>
          <w:rFonts w:ascii="David" w:hAnsi="David" w:cs="David" w:hint="cs"/>
          <w:sz w:val="24"/>
          <w:szCs w:val="24"/>
          <w:rtl/>
        </w:rPr>
        <w:t>א.ש.י.ר</w:t>
      </w:r>
      <w:proofErr w:type="spellEnd"/>
      <w:r w:rsidR="00475F86" w:rsidRPr="005F3228">
        <w:rPr>
          <w:rFonts w:ascii="David" w:hAnsi="David" w:cs="David" w:hint="cs"/>
          <w:sz w:val="24"/>
          <w:szCs w:val="24"/>
          <w:rtl/>
        </w:rPr>
        <w:t xml:space="preserve">., </w:t>
      </w:r>
      <w:r w:rsidR="00057007" w:rsidRPr="005F3228">
        <w:rPr>
          <w:rFonts w:ascii="David" w:hAnsi="David" w:cs="David" w:hint="cs"/>
          <w:sz w:val="24"/>
          <w:szCs w:val="24"/>
          <w:rtl/>
        </w:rPr>
        <w:t xml:space="preserve">אולם </w:t>
      </w:r>
      <w:r w:rsidR="00475F86" w:rsidRPr="005F3228">
        <w:rPr>
          <w:rFonts w:ascii="David" w:hAnsi="David" w:cs="David" w:hint="cs"/>
          <w:sz w:val="24"/>
          <w:szCs w:val="24"/>
          <w:rtl/>
        </w:rPr>
        <w:t>ניתן לראות ב</w:t>
      </w:r>
      <w:r w:rsidRPr="005F3228">
        <w:rPr>
          <w:rFonts w:ascii="David" w:hAnsi="David" w:cs="David" w:hint="cs"/>
          <w:sz w:val="24"/>
          <w:szCs w:val="24"/>
          <w:rtl/>
        </w:rPr>
        <w:t>ה</w:t>
      </w:r>
      <w:r w:rsidR="00475F86" w:rsidRPr="005F3228">
        <w:rPr>
          <w:rFonts w:ascii="David" w:hAnsi="David" w:cs="David" w:hint="cs"/>
          <w:sz w:val="24"/>
          <w:szCs w:val="24"/>
          <w:rtl/>
        </w:rPr>
        <w:t xml:space="preserve"> את "טביעות האצבע" של הגמישות שאפשרה הלכת </w:t>
      </w:r>
      <w:proofErr w:type="spellStart"/>
      <w:r w:rsidR="00475F86" w:rsidRPr="005F3228">
        <w:rPr>
          <w:rFonts w:ascii="David" w:hAnsi="David" w:cs="David" w:hint="cs"/>
          <w:sz w:val="24"/>
          <w:szCs w:val="24"/>
          <w:rtl/>
        </w:rPr>
        <w:t>א.ש.י.ר</w:t>
      </w:r>
      <w:proofErr w:type="spellEnd"/>
      <w:r w:rsidR="00475F86" w:rsidRPr="005F3228">
        <w:rPr>
          <w:rFonts w:ascii="David" w:hAnsi="David" w:cs="David" w:hint="cs"/>
          <w:sz w:val="24"/>
          <w:szCs w:val="24"/>
          <w:rtl/>
        </w:rPr>
        <w:t xml:space="preserve"> בסוגית היחס בין דיני הקניין הרוחני לבין דיני עשיית עושר ולא במשפט.</w:t>
      </w:r>
      <w:r w:rsidR="00475F86" w:rsidRPr="005F3228">
        <w:rPr>
          <w:rStyle w:val="FootnoteReference"/>
          <w:rFonts w:ascii="David" w:hAnsi="David" w:cs="David"/>
          <w:sz w:val="24"/>
          <w:szCs w:val="24"/>
          <w:rtl/>
        </w:rPr>
        <w:footnoteReference w:id="128"/>
      </w:r>
      <w:r w:rsidR="00475F86" w:rsidRPr="005F3228">
        <w:rPr>
          <w:rFonts w:ascii="David" w:hAnsi="David" w:cs="David" w:hint="cs"/>
          <w:sz w:val="24"/>
          <w:szCs w:val="24"/>
          <w:rtl/>
        </w:rPr>
        <w:t xml:space="preserve"> </w:t>
      </w:r>
      <w:r w:rsidR="000A6D65" w:rsidRPr="005F3228">
        <w:rPr>
          <w:rFonts w:ascii="David" w:hAnsi="David" w:cs="David" w:hint="cs"/>
          <w:sz w:val="24"/>
          <w:szCs w:val="24"/>
          <w:rtl/>
        </w:rPr>
        <w:t xml:space="preserve">במילים אחרות, </w:t>
      </w:r>
      <w:r w:rsidRPr="005F3228">
        <w:rPr>
          <w:rFonts w:ascii="David" w:hAnsi="David" w:cs="David" w:hint="cs"/>
          <w:sz w:val="24"/>
          <w:szCs w:val="24"/>
          <w:rtl/>
        </w:rPr>
        <w:t xml:space="preserve">פרשית אוניפארם מדגימה </w:t>
      </w:r>
      <w:r w:rsidR="000A6D65" w:rsidRPr="005F3228">
        <w:rPr>
          <w:rFonts w:ascii="David" w:hAnsi="David" w:cs="David" w:hint="cs"/>
          <w:sz w:val="24"/>
          <w:szCs w:val="24"/>
          <w:rtl/>
        </w:rPr>
        <w:t xml:space="preserve">כי </w:t>
      </w:r>
      <w:r w:rsidR="00336B2E" w:rsidRPr="005F3228">
        <w:rPr>
          <w:rFonts w:ascii="David" w:hAnsi="David" w:cs="David" w:hint="cs"/>
          <w:sz w:val="24"/>
          <w:szCs w:val="24"/>
          <w:rtl/>
        </w:rPr>
        <w:t xml:space="preserve">דיני עשיית עושר הם מכשיר גמיש שניתן לכיול בשני כיוונים: לא רק לשם הרחבה של זכויות הקניין הרוחני הפורמליות, אלא גם למטרות כמו צמצום המונופול של בעל הקניין הרוחני, </w:t>
      </w:r>
      <w:r w:rsidR="00F215A5" w:rsidRPr="005F3228">
        <w:rPr>
          <w:rFonts w:ascii="David" w:hAnsi="David" w:cs="David"/>
          <w:sz w:val="24"/>
          <w:szCs w:val="24"/>
          <w:rtl/>
        </w:rPr>
        <w:t xml:space="preserve">הגנה על אינטרסים של מתחרים </w:t>
      </w:r>
      <w:r w:rsidR="000A6D65" w:rsidRPr="005F3228">
        <w:rPr>
          <w:rFonts w:ascii="David" w:hAnsi="David" w:cs="David" w:hint="cs"/>
          <w:sz w:val="24"/>
          <w:szCs w:val="24"/>
          <w:rtl/>
        </w:rPr>
        <w:t>או</w:t>
      </w:r>
      <w:r w:rsidR="00F215A5" w:rsidRPr="005F3228">
        <w:rPr>
          <w:rFonts w:ascii="David" w:hAnsi="David" w:cs="David"/>
          <w:sz w:val="24"/>
          <w:szCs w:val="24"/>
          <w:rtl/>
        </w:rPr>
        <w:t xml:space="preserve"> משתמשים בתוצרים </w:t>
      </w:r>
      <w:r w:rsidR="000A6D65" w:rsidRPr="005F3228">
        <w:rPr>
          <w:rFonts w:ascii="David" w:hAnsi="David" w:cs="David" w:hint="cs"/>
          <w:sz w:val="24"/>
          <w:szCs w:val="24"/>
          <w:rtl/>
        </w:rPr>
        <w:t>רוחניים,</w:t>
      </w:r>
      <w:r w:rsidR="000A6D65" w:rsidRPr="005F3228">
        <w:rPr>
          <w:rFonts w:ascii="David" w:hAnsi="David" w:cs="David"/>
          <w:sz w:val="24"/>
          <w:szCs w:val="24"/>
          <w:rtl/>
        </w:rPr>
        <w:t xml:space="preserve"> </w:t>
      </w:r>
      <w:r w:rsidR="000A6D65" w:rsidRPr="005F3228">
        <w:rPr>
          <w:rFonts w:ascii="David" w:hAnsi="David" w:cs="David" w:hint="cs"/>
          <w:sz w:val="24"/>
          <w:szCs w:val="24"/>
          <w:rtl/>
        </w:rPr>
        <w:t>וקידום</w:t>
      </w:r>
      <w:r w:rsidR="00F215A5" w:rsidRPr="005F3228">
        <w:rPr>
          <w:rFonts w:ascii="David" w:hAnsi="David" w:cs="David"/>
          <w:sz w:val="24"/>
          <w:szCs w:val="24"/>
          <w:rtl/>
        </w:rPr>
        <w:t xml:space="preserve"> האינטרס הציבורי בשימורה של נחלת הכלל ובקיומה של תחרות חופשית. </w:t>
      </w:r>
    </w:p>
    <w:p w14:paraId="1225A661" w14:textId="77777777" w:rsidR="005F1B46" w:rsidRPr="005F3228" w:rsidRDefault="005F1B46" w:rsidP="005324FB">
      <w:pPr>
        <w:spacing w:line="300" w:lineRule="exact"/>
        <w:jc w:val="both"/>
        <w:rPr>
          <w:rFonts w:ascii="David" w:hAnsi="David" w:cs="David"/>
          <w:b/>
          <w:bCs/>
          <w:sz w:val="24"/>
          <w:szCs w:val="24"/>
          <w:rtl/>
        </w:rPr>
      </w:pPr>
      <w:r w:rsidRPr="005F3228">
        <w:rPr>
          <w:rFonts w:ascii="David" w:hAnsi="David" w:cs="David" w:hint="eastAsia"/>
          <w:b/>
          <w:bCs/>
          <w:sz w:val="24"/>
          <w:szCs w:val="24"/>
          <w:rtl/>
        </w:rPr>
        <w:t>ד</w:t>
      </w:r>
      <w:r w:rsidRPr="005F3228">
        <w:rPr>
          <w:rFonts w:ascii="David" w:hAnsi="David" w:cs="David"/>
          <w:b/>
          <w:bCs/>
          <w:sz w:val="24"/>
          <w:szCs w:val="24"/>
          <w:rtl/>
        </w:rPr>
        <w:t xml:space="preserve">. </w:t>
      </w:r>
      <w:r w:rsidRPr="005F3228">
        <w:rPr>
          <w:rFonts w:ascii="David" w:hAnsi="David" w:cs="David"/>
          <w:b/>
          <w:bCs/>
          <w:sz w:val="24"/>
          <w:szCs w:val="24"/>
          <w:rtl/>
        </w:rPr>
        <w:tab/>
      </w:r>
      <w:r w:rsidRPr="005F3228">
        <w:rPr>
          <w:rFonts w:ascii="David" w:hAnsi="David" w:cs="David" w:hint="cs"/>
          <w:b/>
          <w:bCs/>
          <w:sz w:val="24"/>
          <w:szCs w:val="24"/>
          <w:rtl/>
        </w:rPr>
        <w:t>דיון והערכה</w:t>
      </w:r>
      <w:r w:rsidR="006763F3" w:rsidRPr="005F3228">
        <w:rPr>
          <w:rFonts w:ascii="David" w:hAnsi="David" w:cs="David" w:hint="cs"/>
          <w:b/>
          <w:bCs/>
          <w:sz w:val="24"/>
          <w:szCs w:val="24"/>
          <w:rtl/>
        </w:rPr>
        <w:t>: על וודאות, גמישות, ותוצאות בלתי צפויות</w:t>
      </w:r>
    </w:p>
    <w:p w14:paraId="496C8D90" w14:textId="77777777" w:rsidR="008E3455" w:rsidRPr="005F3228" w:rsidRDefault="00F215A5" w:rsidP="0047225C">
      <w:pPr>
        <w:spacing w:line="300" w:lineRule="exact"/>
        <w:jc w:val="both"/>
        <w:rPr>
          <w:rFonts w:ascii="David" w:hAnsi="David" w:cs="David"/>
          <w:sz w:val="24"/>
          <w:szCs w:val="24"/>
          <w:rtl/>
        </w:rPr>
      </w:pPr>
      <w:r w:rsidRPr="005F3228">
        <w:rPr>
          <w:rFonts w:ascii="David" w:hAnsi="David" w:cs="David"/>
          <w:sz w:val="24"/>
          <w:szCs w:val="24"/>
          <w:rtl/>
        </w:rPr>
        <w:t>ממצאי המחקר שלנו—הכמותי והאיכותני גם יחד—</w:t>
      </w:r>
      <w:r w:rsidR="0012160C" w:rsidRPr="005F3228">
        <w:rPr>
          <w:rFonts w:ascii="David" w:hAnsi="David" w:cs="David" w:hint="cs"/>
          <w:sz w:val="24"/>
          <w:szCs w:val="24"/>
          <w:rtl/>
        </w:rPr>
        <w:t>מצביעים על כך</w:t>
      </w:r>
      <w:r w:rsidR="0047225C" w:rsidRPr="005F3228">
        <w:rPr>
          <w:rFonts w:ascii="David" w:hAnsi="David" w:cs="David" w:hint="cs"/>
          <w:sz w:val="24"/>
          <w:szCs w:val="24"/>
          <w:rtl/>
        </w:rPr>
        <w:t>,</w:t>
      </w:r>
      <w:r w:rsidR="0012160C" w:rsidRPr="005F3228">
        <w:rPr>
          <w:rFonts w:ascii="David" w:hAnsi="David" w:cs="David" w:hint="cs"/>
          <w:sz w:val="24"/>
          <w:szCs w:val="24"/>
          <w:rtl/>
        </w:rPr>
        <w:t xml:space="preserve"> </w:t>
      </w:r>
      <w:r w:rsidR="0047225C" w:rsidRPr="005F3228">
        <w:rPr>
          <w:rFonts w:ascii="David" w:hAnsi="David" w:cs="David" w:hint="cs"/>
          <w:sz w:val="24"/>
          <w:szCs w:val="24"/>
          <w:rtl/>
        </w:rPr>
        <w:t>שחרף</w:t>
      </w:r>
      <w:r w:rsidRPr="005F3228">
        <w:rPr>
          <w:rFonts w:ascii="David" w:hAnsi="David" w:cs="David"/>
          <w:sz w:val="24"/>
          <w:szCs w:val="24"/>
          <w:rtl/>
        </w:rPr>
        <w:t xml:space="preserve"> ה</w:t>
      </w:r>
      <w:r w:rsidR="006F5D9D" w:rsidRPr="005F3228">
        <w:rPr>
          <w:rFonts w:ascii="David" w:hAnsi="David" w:cs="David" w:hint="cs"/>
          <w:sz w:val="24"/>
          <w:szCs w:val="24"/>
          <w:rtl/>
        </w:rPr>
        <w:t>אפשרות</w:t>
      </w:r>
      <w:r w:rsidRPr="005F3228">
        <w:rPr>
          <w:rFonts w:ascii="David" w:hAnsi="David" w:cs="David"/>
          <w:sz w:val="24"/>
          <w:szCs w:val="24"/>
          <w:rtl/>
        </w:rPr>
        <w:t xml:space="preserve"> </w:t>
      </w:r>
      <w:r w:rsidR="008E3455" w:rsidRPr="005F3228">
        <w:rPr>
          <w:rFonts w:ascii="David" w:hAnsi="David" w:cs="David" w:hint="cs"/>
          <w:sz w:val="24"/>
          <w:szCs w:val="24"/>
          <w:rtl/>
        </w:rPr>
        <w:t xml:space="preserve">העקרונית </w:t>
      </w:r>
      <w:r w:rsidR="006F5D9D" w:rsidRPr="005F3228">
        <w:rPr>
          <w:rFonts w:ascii="David" w:hAnsi="David" w:cs="David" w:hint="cs"/>
          <w:sz w:val="24"/>
          <w:szCs w:val="24"/>
          <w:rtl/>
        </w:rPr>
        <w:t xml:space="preserve">להצליח </w:t>
      </w:r>
      <w:r w:rsidRPr="005F3228">
        <w:rPr>
          <w:rFonts w:ascii="David" w:hAnsi="David" w:cs="David"/>
          <w:sz w:val="24"/>
          <w:szCs w:val="24"/>
          <w:rtl/>
        </w:rPr>
        <w:t>ב</w:t>
      </w:r>
      <w:r w:rsidR="008E3455" w:rsidRPr="005F3228">
        <w:rPr>
          <w:rFonts w:ascii="David" w:hAnsi="David" w:cs="David" w:hint="cs"/>
          <w:sz w:val="24"/>
          <w:szCs w:val="24"/>
          <w:rtl/>
        </w:rPr>
        <w:t>מ</w:t>
      </w:r>
      <w:r w:rsidR="0012160C" w:rsidRPr="005F3228">
        <w:rPr>
          <w:rFonts w:ascii="David" w:hAnsi="David" w:cs="David" w:hint="cs"/>
          <w:sz w:val="24"/>
          <w:szCs w:val="24"/>
          <w:rtl/>
        </w:rPr>
        <w:t xml:space="preserve">סלול תביעה </w:t>
      </w:r>
      <w:proofErr w:type="spellStart"/>
      <w:r w:rsidR="0012160C" w:rsidRPr="005F3228">
        <w:rPr>
          <w:rFonts w:ascii="David" w:hAnsi="David" w:cs="David" w:hint="cs"/>
          <w:sz w:val="24"/>
          <w:szCs w:val="24"/>
          <w:rtl/>
        </w:rPr>
        <w:t>מכח</w:t>
      </w:r>
      <w:proofErr w:type="spellEnd"/>
      <w:r w:rsidR="0012160C" w:rsidRPr="005F3228">
        <w:rPr>
          <w:rFonts w:ascii="David" w:hAnsi="David" w:cs="David" w:hint="cs"/>
          <w:sz w:val="24"/>
          <w:szCs w:val="24"/>
          <w:rtl/>
        </w:rPr>
        <w:t xml:space="preserve"> דיני עשיית עושר</w:t>
      </w:r>
      <w:r w:rsidR="008E3455" w:rsidRPr="005F3228">
        <w:rPr>
          <w:rFonts w:ascii="David" w:hAnsi="David" w:cs="David" w:hint="cs"/>
          <w:sz w:val="24"/>
          <w:szCs w:val="24"/>
          <w:rtl/>
        </w:rPr>
        <w:t xml:space="preserve"> </w:t>
      </w:r>
      <w:r w:rsidR="0012160C" w:rsidRPr="005F3228">
        <w:rPr>
          <w:rFonts w:ascii="David" w:hAnsi="David" w:cs="David" w:hint="cs"/>
          <w:sz w:val="24"/>
          <w:szCs w:val="24"/>
          <w:rtl/>
        </w:rPr>
        <w:t>בהעדר עילה בקניין רוחני,</w:t>
      </w:r>
      <w:r w:rsidR="0012160C" w:rsidRPr="005F3228">
        <w:rPr>
          <w:rFonts w:ascii="David" w:hAnsi="David" w:cs="David"/>
          <w:sz w:val="24"/>
          <w:szCs w:val="24"/>
          <w:rtl/>
        </w:rPr>
        <w:t xml:space="preserve"> </w:t>
      </w:r>
      <w:r w:rsidR="0012160C" w:rsidRPr="005F3228">
        <w:rPr>
          <w:rFonts w:ascii="David" w:hAnsi="David" w:cs="David" w:hint="cs"/>
          <w:sz w:val="24"/>
          <w:szCs w:val="24"/>
          <w:rtl/>
        </w:rPr>
        <w:t xml:space="preserve">פסק הדין בעניין </w:t>
      </w:r>
      <w:proofErr w:type="spellStart"/>
      <w:r w:rsidR="0012160C" w:rsidRPr="005F3228">
        <w:rPr>
          <w:rFonts w:ascii="David" w:hAnsi="David" w:cs="David" w:hint="cs"/>
          <w:sz w:val="24"/>
          <w:szCs w:val="24"/>
          <w:rtl/>
        </w:rPr>
        <w:t>א.ש.י.ר</w:t>
      </w:r>
      <w:proofErr w:type="spellEnd"/>
      <w:r w:rsidR="0012160C" w:rsidRPr="005F3228">
        <w:rPr>
          <w:rFonts w:ascii="David" w:hAnsi="David" w:cs="David" w:hint="cs"/>
          <w:sz w:val="24"/>
          <w:szCs w:val="24"/>
          <w:rtl/>
        </w:rPr>
        <w:t>. לא הוביל, ככלל, ל"פריצת סכרים" בתחום הקניין הרוחני</w:t>
      </w:r>
      <w:r w:rsidR="007C2623" w:rsidRPr="005F3228">
        <w:rPr>
          <w:rFonts w:ascii="David" w:hAnsi="David" w:cs="David" w:hint="cs"/>
          <w:sz w:val="24"/>
          <w:szCs w:val="24"/>
          <w:rtl/>
        </w:rPr>
        <w:t xml:space="preserve"> בישראל. </w:t>
      </w:r>
      <w:r w:rsidRPr="005F3228">
        <w:rPr>
          <w:rFonts w:ascii="David" w:hAnsi="David" w:cs="David"/>
          <w:sz w:val="24"/>
          <w:szCs w:val="24"/>
          <w:rtl/>
        </w:rPr>
        <w:t xml:space="preserve">מתוך שורה ארוכה של </w:t>
      </w:r>
      <w:r w:rsidR="00F17FDA" w:rsidRPr="005F3228">
        <w:rPr>
          <w:rFonts w:ascii="David" w:hAnsi="David" w:cs="David" w:hint="cs"/>
          <w:sz w:val="24"/>
          <w:szCs w:val="24"/>
          <w:rtl/>
        </w:rPr>
        <w:t xml:space="preserve">מקרים </w:t>
      </w:r>
      <w:r w:rsidR="008E3455" w:rsidRPr="005F3228">
        <w:rPr>
          <w:rFonts w:ascii="David" w:hAnsi="David" w:cs="David" w:hint="cs"/>
          <w:sz w:val="24"/>
          <w:szCs w:val="24"/>
          <w:rtl/>
        </w:rPr>
        <w:t>שכללו עילה</w:t>
      </w:r>
      <w:r w:rsidRPr="005F3228">
        <w:rPr>
          <w:rFonts w:ascii="David" w:hAnsi="David" w:cs="David"/>
          <w:sz w:val="24"/>
          <w:szCs w:val="24"/>
          <w:rtl/>
        </w:rPr>
        <w:t xml:space="preserve"> </w:t>
      </w:r>
      <w:r w:rsidR="0012160C" w:rsidRPr="005F3228">
        <w:rPr>
          <w:rFonts w:ascii="David" w:hAnsi="David" w:cs="David" w:hint="cs"/>
          <w:sz w:val="24"/>
          <w:szCs w:val="24"/>
          <w:rtl/>
        </w:rPr>
        <w:t>ב</w:t>
      </w:r>
      <w:r w:rsidRPr="005F3228">
        <w:rPr>
          <w:rFonts w:ascii="David" w:hAnsi="David" w:cs="David"/>
          <w:sz w:val="24"/>
          <w:szCs w:val="24"/>
          <w:rtl/>
        </w:rPr>
        <w:t xml:space="preserve">קניין רוחני </w:t>
      </w:r>
      <w:r w:rsidR="0012160C" w:rsidRPr="005F3228">
        <w:rPr>
          <w:rFonts w:ascii="David" w:hAnsi="David" w:cs="David" w:hint="cs"/>
          <w:sz w:val="24"/>
          <w:szCs w:val="24"/>
          <w:rtl/>
        </w:rPr>
        <w:t xml:space="preserve">לצד </w:t>
      </w:r>
      <w:r w:rsidRPr="005F3228">
        <w:rPr>
          <w:rFonts w:ascii="David" w:hAnsi="David" w:cs="David"/>
          <w:sz w:val="24"/>
          <w:szCs w:val="24"/>
          <w:rtl/>
        </w:rPr>
        <w:t xml:space="preserve">עילה בעשיית עושר, </w:t>
      </w:r>
      <w:r w:rsidR="0012160C" w:rsidRPr="005F3228">
        <w:rPr>
          <w:rFonts w:ascii="David" w:hAnsi="David" w:cs="David" w:hint="cs"/>
          <w:sz w:val="24"/>
          <w:szCs w:val="24"/>
          <w:rtl/>
        </w:rPr>
        <w:t xml:space="preserve">מספר המקרים בהם התקבלה טענת עשיית </w:t>
      </w:r>
      <w:r w:rsidR="008E3455" w:rsidRPr="005F3228">
        <w:rPr>
          <w:rFonts w:ascii="David" w:hAnsi="David" w:cs="David" w:hint="cs"/>
          <w:sz w:val="24"/>
          <w:szCs w:val="24"/>
          <w:rtl/>
        </w:rPr>
        <w:t>ה</w:t>
      </w:r>
      <w:r w:rsidR="0012160C" w:rsidRPr="005F3228">
        <w:rPr>
          <w:rFonts w:ascii="David" w:hAnsi="David" w:cs="David" w:hint="cs"/>
          <w:sz w:val="24"/>
          <w:szCs w:val="24"/>
          <w:rtl/>
        </w:rPr>
        <w:t>עושר בהעדר זכות קניין רוחני ספציפית</w:t>
      </w:r>
      <w:r w:rsidRPr="005F3228">
        <w:rPr>
          <w:rFonts w:ascii="David" w:hAnsi="David" w:cs="David"/>
          <w:sz w:val="24"/>
          <w:szCs w:val="24"/>
          <w:rtl/>
        </w:rPr>
        <w:t xml:space="preserve">, </w:t>
      </w:r>
      <w:r w:rsidR="0012160C" w:rsidRPr="005F3228">
        <w:rPr>
          <w:rFonts w:ascii="David" w:hAnsi="David" w:cs="David" w:hint="cs"/>
          <w:sz w:val="24"/>
          <w:szCs w:val="24"/>
          <w:rtl/>
        </w:rPr>
        <w:t xml:space="preserve">הוא קטן </w:t>
      </w:r>
      <w:r w:rsidR="006F5D9D" w:rsidRPr="005F3228">
        <w:rPr>
          <w:rFonts w:ascii="David" w:hAnsi="David" w:cs="David" w:hint="cs"/>
          <w:sz w:val="24"/>
          <w:szCs w:val="24"/>
          <w:rtl/>
        </w:rPr>
        <w:t>ועומד על</w:t>
      </w:r>
      <w:r w:rsidR="0026069A" w:rsidRPr="005F3228">
        <w:rPr>
          <w:rFonts w:ascii="David" w:hAnsi="David" w:cs="David" w:hint="cs"/>
          <w:sz w:val="24"/>
          <w:szCs w:val="24"/>
          <w:rtl/>
        </w:rPr>
        <w:t xml:space="preserve"> כ-</w:t>
      </w:r>
      <w:r w:rsidR="0047225C" w:rsidRPr="005F3228">
        <w:rPr>
          <w:rFonts w:ascii="David" w:hAnsi="David" w:cs="David"/>
          <w:sz w:val="24"/>
          <w:szCs w:val="24"/>
          <w:rtl/>
        </w:rPr>
        <w:t>5.</w:t>
      </w:r>
      <w:r w:rsidR="0026069A" w:rsidRPr="005F3228">
        <w:rPr>
          <w:rFonts w:ascii="David" w:hAnsi="David" w:cs="David" w:hint="cs"/>
          <w:sz w:val="24"/>
          <w:szCs w:val="24"/>
          <w:rtl/>
        </w:rPr>
        <w:t>6</w:t>
      </w:r>
      <w:r w:rsidR="0047225C" w:rsidRPr="005F3228">
        <w:rPr>
          <w:rFonts w:ascii="David" w:hAnsi="David" w:cs="David"/>
          <w:sz w:val="24"/>
          <w:szCs w:val="24"/>
          <w:rtl/>
        </w:rPr>
        <w:t>%</w:t>
      </w:r>
      <w:r w:rsidR="006F5D9D" w:rsidRPr="005F3228">
        <w:rPr>
          <w:rFonts w:ascii="David" w:hAnsi="David" w:cs="David"/>
          <w:sz w:val="24"/>
          <w:szCs w:val="24"/>
          <w:rtl/>
        </w:rPr>
        <w:t xml:space="preserve"> מהמקרים</w:t>
      </w:r>
      <w:r w:rsidR="0012160C" w:rsidRPr="005F3228">
        <w:rPr>
          <w:rFonts w:ascii="David" w:hAnsi="David" w:cs="David"/>
          <w:sz w:val="24"/>
          <w:szCs w:val="24"/>
          <w:rtl/>
        </w:rPr>
        <w:t>.</w:t>
      </w:r>
      <w:r w:rsidR="0012160C" w:rsidRPr="005F3228">
        <w:rPr>
          <w:rFonts w:ascii="David" w:hAnsi="David" w:cs="David" w:hint="cs"/>
          <w:sz w:val="24"/>
          <w:szCs w:val="24"/>
          <w:rtl/>
        </w:rPr>
        <w:t xml:space="preserve"> </w:t>
      </w:r>
    </w:p>
    <w:p w14:paraId="647F9B3C" w14:textId="77777777" w:rsidR="00D945AB" w:rsidRPr="005F3228" w:rsidRDefault="0012160C" w:rsidP="00EC10A8">
      <w:pPr>
        <w:spacing w:line="300" w:lineRule="exact"/>
        <w:jc w:val="both"/>
        <w:rPr>
          <w:rFonts w:ascii="David" w:hAnsi="David" w:cs="David"/>
          <w:sz w:val="24"/>
          <w:szCs w:val="24"/>
          <w:rtl/>
        </w:rPr>
      </w:pPr>
      <w:r w:rsidRPr="005F3228">
        <w:rPr>
          <w:rFonts w:ascii="David" w:hAnsi="David" w:cs="David" w:hint="cs"/>
          <w:sz w:val="24"/>
          <w:szCs w:val="24"/>
          <w:rtl/>
        </w:rPr>
        <w:t xml:space="preserve">יותר מכך, </w:t>
      </w:r>
      <w:r w:rsidR="00F17FDA" w:rsidRPr="005F3228">
        <w:rPr>
          <w:rFonts w:ascii="David" w:hAnsi="David" w:cs="David" w:hint="cs"/>
          <w:sz w:val="24"/>
          <w:szCs w:val="24"/>
          <w:rtl/>
        </w:rPr>
        <w:t>עיון מקרוב במקרים אלה</w:t>
      </w:r>
      <w:r w:rsidR="00D945AB" w:rsidRPr="005F3228">
        <w:rPr>
          <w:rFonts w:ascii="David" w:hAnsi="David" w:cs="David"/>
          <w:sz w:val="24"/>
          <w:szCs w:val="24"/>
          <w:rtl/>
        </w:rPr>
        <w:t>—</w:t>
      </w:r>
      <w:r w:rsidR="00D945AB" w:rsidRPr="005F3228">
        <w:rPr>
          <w:rFonts w:ascii="David" w:hAnsi="David" w:cs="David" w:hint="cs"/>
          <w:sz w:val="24"/>
          <w:szCs w:val="24"/>
          <w:rtl/>
        </w:rPr>
        <w:t xml:space="preserve">אותם כינינו כאן "דמויי </w:t>
      </w:r>
      <w:proofErr w:type="spellStart"/>
      <w:r w:rsidR="00D945AB" w:rsidRPr="005F3228">
        <w:rPr>
          <w:rFonts w:ascii="David" w:hAnsi="David" w:cs="David" w:hint="cs"/>
          <w:sz w:val="24"/>
          <w:szCs w:val="24"/>
          <w:rtl/>
        </w:rPr>
        <w:t>א.ש.י.ר</w:t>
      </w:r>
      <w:proofErr w:type="spellEnd"/>
      <w:r w:rsidR="007C2623" w:rsidRPr="005F3228">
        <w:rPr>
          <w:rFonts w:ascii="David" w:hAnsi="David" w:cs="David" w:hint="cs"/>
          <w:sz w:val="24"/>
          <w:szCs w:val="24"/>
          <w:rtl/>
        </w:rPr>
        <w:t>."</w:t>
      </w:r>
      <w:r w:rsidR="00D945AB" w:rsidRPr="005F3228">
        <w:rPr>
          <w:rFonts w:ascii="David" w:hAnsi="David" w:cs="David"/>
          <w:sz w:val="24"/>
          <w:szCs w:val="24"/>
          <w:rtl/>
        </w:rPr>
        <w:t>—</w:t>
      </w:r>
      <w:r w:rsidR="00D945AB" w:rsidRPr="005F3228">
        <w:rPr>
          <w:rFonts w:ascii="David" w:hAnsi="David" w:cs="David" w:hint="cs"/>
          <w:sz w:val="24"/>
          <w:szCs w:val="24"/>
          <w:rtl/>
        </w:rPr>
        <w:t>מעלה ש</w:t>
      </w:r>
      <w:r w:rsidR="00F215A5" w:rsidRPr="005F3228">
        <w:rPr>
          <w:rFonts w:ascii="David" w:hAnsi="David" w:cs="David"/>
          <w:sz w:val="24"/>
          <w:szCs w:val="24"/>
          <w:rtl/>
        </w:rPr>
        <w:t xml:space="preserve">רובם </w:t>
      </w:r>
      <w:r w:rsidR="00D945AB" w:rsidRPr="005F3228">
        <w:rPr>
          <w:rFonts w:ascii="David" w:hAnsi="David" w:cs="David" w:hint="cs"/>
          <w:sz w:val="24"/>
          <w:szCs w:val="24"/>
          <w:rtl/>
        </w:rPr>
        <w:t xml:space="preserve">המכריע משתייכים לשני סוגי </w:t>
      </w:r>
      <w:r w:rsidR="009D674B" w:rsidRPr="005F3228">
        <w:rPr>
          <w:rFonts w:ascii="David" w:hAnsi="David" w:cs="David" w:hint="cs"/>
          <w:sz w:val="24"/>
          <w:szCs w:val="24"/>
          <w:rtl/>
        </w:rPr>
        <w:t>ה</w:t>
      </w:r>
      <w:r w:rsidR="00D945AB" w:rsidRPr="005F3228">
        <w:rPr>
          <w:rFonts w:ascii="David" w:hAnsi="David" w:cs="David" w:hint="cs"/>
          <w:sz w:val="24"/>
          <w:szCs w:val="24"/>
          <w:rtl/>
        </w:rPr>
        <w:t xml:space="preserve">מקרים </w:t>
      </w:r>
      <w:r w:rsidR="009D674B" w:rsidRPr="005F3228">
        <w:rPr>
          <w:rFonts w:ascii="David" w:hAnsi="David" w:cs="David" w:hint="cs"/>
          <w:sz w:val="24"/>
          <w:szCs w:val="24"/>
          <w:rtl/>
        </w:rPr>
        <w:t xml:space="preserve">העיקריים </w:t>
      </w:r>
      <w:r w:rsidR="00D945AB" w:rsidRPr="005F3228">
        <w:rPr>
          <w:rFonts w:ascii="David" w:hAnsi="David" w:cs="David" w:hint="cs"/>
          <w:sz w:val="24"/>
          <w:szCs w:val="24"/>
          <w:rtl/>
        </w:rPr>
        <w:t>אותם סימן בית המשפט העליון בקבעו את ההלכה, כ</w:t>
      </w:r>
      <w:r w:rsidR="007C2623" w:rsidRPr="005F3228">
        <w:rPr>
          <w:rFonts w:ascii="David" w:hAnsi="David" w:cs="David" w:hint="cs"/>
          <w:sz w:val="24"/>
          <w:szCs w:val="24"/>
          <w:rtl/>
        </w:rPr>
        <w:t xml:space="preserve">סוגי </w:t>
      </w:r>
      <w:r w:rsidR="00D945AB" w:rsidRPr="005F3228">
        <w:rPr>
          <w:rFonts w:ascii="David" w:hAnsi="David" w:cs="David" w:hint="cs"/>
          <w:sz w:val="24"/>
          <w:szCs w:val="24"/>
          <w:rtl/>
        </w:rPr>
        <w:t>מקרים העשויים להצדיק סעד בעשיית עושר</w:t>
      </w:r>
      <w:r w:rsidR="006F5D9D" w:rsidRPr="005F3228">
        <w:rPr>
          <w:rFonts w:ascii="David" w:hAnsi="David" w:cs="David" w:hint="cs"/>
          <w:sz w:val="24"/>
          <w:szCs w:val="24"/>
          <w:rtl/>
        </w:rPr>
        <w:t>:</w:t>
      </w:r>
      <w:r w:rsidR="00D945AB" w:rsidRPr="005F3228">
        <w:rPr>
          <w:rFonts w:ascii="David" w:hAnsi="David" w:cs="David" w:hint="cs"/>
          <w:sz w:val="24"/>
          <w:szCs w:val="24"/>
          <w:rtl/>
        </w:rPr>
        <w:t xml:space="preserve"> ראשית, </w:t>
      </w:r>
      <w:r w:rsidR="007C2623" w:rsidRPr="005F3228">
        <w:rPr>
          <w:rFonts w:ascii="David" w:hAnsi="David" w:cs="David" w:hint="cs"/>
          <w:sz w:val="24"/>
          <w:szCs w:val="24"/>
          <w:rtl/>
        </w:rPr>
        <w:t>מצבים</w:t>
      </w:r>
      <w:r w:rsidR="00D945AB" w:rsidRPr="005F3228">
        <w:rPr>
          <w:rFonts w:ascii="David" w:hAnsi="David" w:cs="David" w:hint="cs"/>
          <w:sz w:val="24"/>
          <w:szCs w:val="24"/>
          <w:rtl/>
        </w:rPr>
        <w:t xml:space="preserve"> בהם דיני הקניין הרוחני אינם מתייחסים כלל לתוצר נשוא ההגנה, אשר הולידו את הפסיקה בנושא הזכות לפרסום וזכויות השידור לאירועי ספורט; שנית, מ</w:t>
      </w:r>
      <w:r w:rsidR="007C2623" w:rsidRPr="005F3228">
        <w:rPr>
          <w:rFonts w:ascii="David" w:hAnsi="David" w:cs="David" w:hint="cs"/>
          <w:sz w:val="24"/>
          <w:szCs w:val="24"/>
          <w:rtl/>
        </w:rPr>
        <w:t>צבים</w:t>
      </w:r>
      <w:r w:rsidR="00D945AB" w:rsidRPr="005F3228">
        <w:rPr>
          <w:rFonts w:ascii="David" w:hAnsi="David" w:cs="David" w:hint="cs"/>
          <w:sz w:val="24"/>
          <w:szCs w:val="24"/>
          <w:rtl/>
        </w:rPr>
        <w:t xml:space="preserve"> שבהם </w:t>
      </w:r>
      <w:r w:rsidR="00D945AB" w:rsidRPr="005F3228">
        <w:rPr>
          <w:rFonts w:ascii="David" w:hAnsi="David" w:cs="David"/>
          <w:sz w:val="24"/>
          <w:szCs w:val="24"/>
          <w:rtl/>
        </w:rPr>
        <w:t>דיני הקניין הרוחני אינם מעניקים ל</w:t>
      </w:r>
      <w:r w:rsidR="00D945AB" w:rsidRPr="005F3228">
        <w:rPr>
          <w:rFonts w:ascii="David" w:hAnsi="David" w:cs="David" w:hint="cs"/>
          <w:sz w:val="24"/>
          <w:szCs w:val="24"/>
          <w:rtl/>
        </w:rPr>
        <w:t xml:space="preserve">סוג נכס מסוים </w:t>
      </w:r>
      <w:r w:rsidR="00D945AB" w:rsidRPr="005F3228">
        <w:rPr>
          <w:rFonts w:ascii="David" w:hAnsi="David" w:cs="David"/>
          <w:sz w:val="24"/>
          <w:szCs w:val="24"/>
          <w:rtl/>
        </w:rPr>
        <w:t xml:space="preserve"> הגנה יעילה</w:t>
      </w:r>
      <w:r w:rsidR="00D945AB" w:rsidRPr="005F3228">
        <w:rPr>
          <w:rFonts w:ascii="David" w:hAnsi="David" w:cs="David" w:hint="cs"/>
          <w:sz w:val="24"/>
          <w:szCs w:val="24"/>
          <w:rtl/>
        </w:rPr>
        <w:t xml:space="preserve">, </w:t>
      </w:r>
      <w:r w:rsidR="007C2623" w:rsidRPr="005F3228">
        <w:rPr>
          <w:rFonts w:ascii="David" w:hAnsi="David" w:cs="David" w:hint="cs"/>
          <w:sz w:val="24"/>
          <w:szCs w:val="24"/>
          <w:rtl/>
        </w:rPr>
        <w:t>שהולידו שורת</w:t>
      </w:r>
      <w:r w:rsidR="00D945AB" w:rsidRPr="005F3228">
        <w:rPr>
          <w:rFonts w:ascii="David" w:hAnsi="David" w:cs="David" w:hint="cs"/>
          <w:sz w:val="24"/>
          <w:szCs w:val="24"/>
          <w:rtl/>
        </w:rPr>
        <w:t xml:space="preserve"> </w:t>
      </w:r>
      <w:r w:rsidR="007C2623" w:rsidRPr="005F3228">
        <w:rPr>
          <w:rFonts w:ascii="David" w:hAnsi="David" w:cs="David" w:hint="cs"/>
          <w:sz w:val="24"/>
          <w:szCs w:val="24"/>
          <w:rtl/>
        </w:rPr>
        <w:t>החלטות אשר הכירו בהגנה</w:t>
      </w:r>
      <w:r w:rsidR="00D945AB" w:rsidRPr="005F3228">
        <w:rPr>
          <w:rFonts w:ascii="David" w:hAnsi="David" w:cs="David" w:hint="cs"/>
          <w:sz w:val="24"/>
          <w:szCs w:val="24"/>
          <w:rtl/>
        </w:rPr>
        <w:t xml:space="preserve"> על עיצובים לא רשומים</w:t>
      </w:r>
      <w:r w:rsidR="006F5D9D" w:rsidRPr="005F3228">
        <w:rPr>
          <w:rFonts w:ascii="David" w:hAnsi="David" w:cs="David" w:hint="cs"/>
          <w:sz w:val="24"/>
          <w:szCs w:val="24"/>
          <w:rtl/>
        </w:rPr>
        <w:t>.</w:t>
      </w:r>
      <w:r w:rsidR="006F5D9D" w:rsidRPr="005F3228">
        <w:rPr>
          <w:rStyle w:val="FootnoteReference"/>
          <w:rFonts w:ascii="David" w:hAnsi="David" w:cs="David"/>
          <w:sz w:val="24"/>
          <w:szCs w:val="24"/>
          <w:rtl/>
        </w:rPr>
        <w:footnoteReference w:id="129"/>
      </w:r>
      <w:r w:rsidR="008E3455" w:rsidRPr="005F3228">
        <w:rPr>
          <w:rFonts w:ascii="David" w:hAnsi="David" w:cs="David" w:hint="cs"/>
          <w:sz w:val="24"/>
          <w:szCs w:val="24"/>
          <w:rtl/>
        </w:rPr>
        <w:t xml:space="preserve"> </w:t>
      </w:r>
      <w:r w:rsidR="006F5D9D" w:rsidRPr="005F3228">
        <w:rPr>
          <w:rFonts w:ascii="David" w:hAnsi="David" w:cs="David" w:hint="cs"/>
          <w:sz w:val="24"/>
          <w:szCs w:val="24"/>
          <w:rtl/>
        </w:rPr>
        <w:t xml:space="preserve">כמובהר למעלה, </w:t>
      </w:r>
      <w:r w:rsidR="008E3455" w:rsidRPr="005F3228">
        <w:rPr>
          <w:rFonts w:ascii="David" w:hAnsi="David" w:cs="David" w:hint="cs"/>
          <w:sz w:val="24"/>
          <w:szCs w:val="24"/>
          <w:rtl/>
        </w:rPr>
        <w:t xml:space="preserve">סוג מקרים </w:t>
      </w:r>
      <w:r w:rsidR="006F5D9D" w:rsidRPr="005F3228">
        <w:rPr>
          <w:rFonts w:ascii="David" w:hAnsi="David" w:cs="David" w:hint="cs"/>
          <w:sz w:val="24"/>
          <w:szCs w:val="24"/>
          <w:rtl/>
        </w:rPr>
        <w:t xml:space="preserve">אחרון זה </w:t>
      </w:r>
      <w:r w:rsidR="008E3455" w:rsidRPr="005F3228">
        <w:rPr>
          <w:rFonts w:ascii="David" w:hAnsi="David" w:cs="David" w:hint="cs"/>
          <w:sz w:val="24"/>
          <w:szCs w:val="24"/>
          <w:rtl/>
        </w:rPr>
        <w:t>עתיד להעלם מן העולם, לאחר חקיקת חוק העיצובים.</w:t>
      </w:r>
      <w:r w:rsidR="00D945AB" w:rsidRPr="005F3228">
        <w:rPr>
          <w:rFonts w:ascii="David" w:hAnsi="David" w:cs="David" w:hint="cs"/>
          <w:sz w:val="24"/>
          <w:szCs w:val="24"/>
          <w:rtl/>
        </w:rPr>
        <w:t xml:space="preserve"> </w:t>
      </w:r>
      <w:r w:rsidR="006F5D9D" w:rsidRPr="005F3228">
        <w:rPr>
          <w:rFonts w:ascii="David" w:hAnsi="David" w:cs="David" w:hint="cs"/>
          <w:sz w:val="24"/>
          <w:szCs w:val="24"/>
          <w:rtl/>
        </w:rPr>
        <w:t xml:space="preserve">לעומת זאת, </w:t>
      </w:r>
      <w:r w:rsidR="008E3455" w:rsidRPr="005F3228">
        <w:rPr>
          <w:rFonts w:ascii="David" w:hAnsi="David" w:cs="David" w:hint="cs"/>
          <w:sz w:val="24"/>
          <w:szCs w:val="24"/>
          <w:rtl/>
        </w:rPr>
        <w:t xml:space="preserve">מספר </w:t>
      </w:r>
      <w:r w:rsidR="008E3455" w:rsidRPr="005F3228">
        <w:rPr>
          <w:rFonts w:ascii="David" w:hAnsi="David" w:cs="David" w:hint="cs"/>
          <w:sz w:val="24"/>
          <w:szCs w:val="24"/>
          <w:rtl/>
        </w:rPr>
        <w:lastRenderedPageBreak/>
        <w:t xml:space="preserve">המקרים </w:t>
      </w:r>
      <w:r w:rsidR="006F5D9D" w:rsidRPr="005F3228">
        <w:rPr>
          <w:rFonts w:ascii="David" w:hAnsi="David" w:cs="David" w:hint="cs"/>
          <w:sz w:val="24"/>
          <w:szCs w:val="24"/>
          <w:rtl/>
        </w:rPr>
        <w:t xml:space="preserve">דמויי </w:t>
      </w:r>
      <w:proofErr w:type="spellStart"/>
      <w:r w:rsidR="006F5D9D" w:rsidRPr="005F3228">
        <w:rPr>
          <w:rFonts w:ascii="David" w:hAnsi="David" w:cs="David" w:hint="cs"/>
          <w:sz w:val="24"/>
          <w:szCs w:val="24"/>
          <w:rtl/>
        </w:rPr>
        <w:t>א.ש.י.ר</w:t>
      </w:r>
      <w:proofErr w:type="spellEnd"/>
      <w:r w:rsidR="006F5D9D" w:rsidRPr="005F3228">
        <w:rPr>
          <w:rFonts w:ascii="David" w:hAnsi="David" w:cs="David" w:hint="cs"/>
          <w:sz w:val="24"/>
          <w:szCs w:val="24"/>
          <w:rtl/>
        </w:rPr>
        <w:t>.</w:t>
      </w:r>
      <w:r w:rsidR="00EC10A8" w:rsidRPr="005F3228">
        <w:rPr>
          <w:rFonts w:ascii="David" w:hAnsi="David" w:cs="David" w:hint="cs"/>
          <w:sz w:val="24"/>
          <w:szCs w:val="24"/>
          <w:rtl/>
        </w:rPr>
        <w:t>, מבין המקרים שנכללו במאגר,</w:t>
      </w:r>
      <w:r w:rsidR="006F5D9D" w:rsidRPr="005F3228">
        <w:rPr>
          <w:rFonts w:ascii="David" w:hAnsi="David" w:cs="David" w:hint="cs"/>
          <w:sz w:val="24"/>
          <w:szCs w:val="24"/>
          <w:rtl/>
        </w:rPr>
        <w:t xml:space="preserve"> </w:t>
      </w:r>
      <w:r w:rsidR="00EC10A8" w:rsidRPr="005F3228">
        <w:rPr>
          <w:rFonts w:ascii="David" w:hAnsi="David" w:cs="David" w:hint="cs"/>
          <w:sz w:val="24"/>
          <w:szCs w:val="24"/>
          <w:rtl/>
        </w:rPr>
        <w:t xml:space="preserve">אשר </w:t>
      </w:r>
      <w:r w:rsidR="008E3455" w:rsidRPr="005F3228">
        <w:rPr>
          <w:rFonts w:ascii="David" w:hAnsi="David" w:cs="David" w:hint="cs"/>
          <w:sz w:val="24"/>
          <w:szCs w:val="24"/>
          <w:rtl/>
        </w:rPr>
        <w:t>אינם משתייכים לאח</w:t>
      </w:r>
      <w:r w:rsidR="00DC2470" w:rsidRPr="005F3228">
        <w:rPr>
          <w:rFonts w:ascii="David" w:hAnsi="David" w:cs="David" w:hint="cs"/>
          <w:sz w:val="24"/>
          <w:szCs w:val="24"/>
          <w:rtl/>
        </w:rPr>
        <w:t>ת</w:t>
      </w:r>
      <w:r w:rsidR="008E3455" w:rsidRPr="005F3228">
        <w:rPr>
          <w:rFonts w:ascii="David" w:hAnsi="David" w:cs="David" w:hint="cs"/>
          <w:sz w:val="24"/>
          <w:szCs w:val="24"/>
          <w:rtl/>
        </w:rPr>
        <w:t xml:space="preserve"> </w:t>
      </w:r>
      <w:r w:rsidR="00DC2470" w:rsidRPr="005F3228">
        <w:rPr>
          <w:rFonts w:ascii="David" w:hAnsi="David" w:cs="David" w:hint="cs"/>
          <w:sz w:val="24"/>
          <w:szCs w:val="24"/>
          <w:rtl/>
        </w:rPr>
        <w:t>מן הקטגוריות ה</w:t>
      </w:r>
      <w:r w:rsidR="008E3455" w:rsidRPr="005F3228">
        <w:rPr>
          <w:rFonts w:ascii="David" w:hAnsi="David" w:cs="David" w:hint="cs"/>
          <w:sz w:val="24"/>
          <w:szCs w:val="24"/>
          <w:rtl/>
        </w:rPr>
        <w:t xml:space="preserve">אלה הם ספורים. בעשרים השנים שחלפו מאז </w:t>
      </w:r>
      <w:r w:rsidR="006F5D9D" w:rsidRPr="005F3228">
        <w:rPr>
          <w:rFonts w:ascii="David" w:hAnsi="David" w:cs="David" w:hint="cs"/>
          <w:sz w:val="24"/>
          <w:szCs w:val="24"/>
          <w:rtl/>
        </w:rPr>
        <w:t xml:space="preserve">פסק הדין </w:t>
      </w:r>
      <w:r w:rsidR="008E3455" w:rsidRPr="005F3228">
        <w:rPr>
          <w:rFonts w:ascii="David" w:hAnsi="David" w:cs="David" w:hint="eastAsia"/>
          <w:sz w:val="24"/>
          <w:szCs w:val="24"/>
          <w:rtl/>
        </w:rPr>
        <w:t>ניתן</w:t>
      </w:r>
      <w:r w:rsidR="008E3455" w:rsidRPr="005F3228">
        <w:rPr>
          <w:rFonts w:ascii="David" w:hAnsi="David" w:cs="David"/>
          <w:sz w:val="24"/>
          <w:szCs w:val="24"/>
          <w:rtl/>
        </w:rPr>
        <w:t xml:space="preserve"> </w:t>
      </w:r>
      <w:r w:rsidR="008E3455" w:rsidRPr="005F3228">
        <w:rPr>
          <w:rFonts w:ascii="David" w:hAnsi="David" w:cs="David" w:hint="eastAsia"/>
          <w:sz w:val="24"/>
          <w:szCs w:val="24"/>
          <w:rtl/>
        </w:rPr>
        <w:t>למנות</w:t>
      </w:r>
      <w:r w:rsidR="008E3455" w:rsidRPr="005F3228">
        <w:rPr>
          <w:rFonts w:ascii="David" w:hAnsi="David" w:cs="David"/>
          <w:sz w:val="24"/>
          <w:szCs w:val="24"/>
          <w:rtl/>
        </w:rPr>
        <w:t xml:space="preserve"> </w:t>
      </w:r>
      <w:r w:rsidR="008E3455" w:rsidRPr="005F3228">
        <w:rPr>
          <w:rFonts w:ascii="David" w:hAnsi="David" w:cs="David" w:hint="eastAsia"/>
          <w:sz w:val="24"/>
          <w:szCs w:val="24"/>
          <w:rtl/>
        </w:rPr>
        <w:t>אותם</w:t>
      </w:r>
      <w:r w:rsidR="008E3455" w:rsidRPr="005F3228">
        <w:rPr>
          <w:rFonts w:ascii="David" w:hAnsi="David" w:cs="David"/>
          <w:sz w:val="24"/>
          <w:szCs w:val="24"/>
          <w:rtl/>
        </w:rPr>
        <w:t xml:space="preserve"> </w:t>
      </w:r>
      <w:r w:rsidR="008E3455" w:rsidRPr="005F3228">
        <w:rPr>
          <w:rFonts w:ascii="David" w:hAnsi="David" w:cs="David" w:hint="eastAsia"/>
          <w:sz w:val="24"/>
          <w:szCs w:val="24"/>
          <w:rtl/>
        </w:rPr>
        <w:t>על</w:t>
      </w:r>
      <w:r w:rsidR="008E3455" w:rsidRPr="005F3228">
        <w:rPr>
          <w:rFonts w:ascii="David" w:hAnsi="David" w:cs="David"/>
          <w:sz w:val="24"/>
          <w:szCs w:val="24"/>
          <w:rtl/>
        </w:rPr>
        <w:t xml:space="preserve"> </w:t>
      </w:r>
      <w:r w:rsidR="008E3455" w:rsidRPr="005F3228">
        <w:rPr>
          <w:rFonts w:ascii="David" w:hAnsi="David" w:cs="David" w:hint="eastAsia"/>
          <w:sz w:val="24"/>
          <w:szCs w:val="24"/>
          <w:rtl/>
        </w:rPr>
        <w:t>אצבעות</w:t>
      </w:r>
      <w:r w:rsidR="008E3455" w:rsidRPr="005F3228">
        <w:rPr>
          <w:rFonts w:ascii="David" w:hAnsi="David" w:cs="David"/>
          <w:sz w:val="24"/>
          <w:szCs w:val="24"/>
          <w:rtl/>
        </w:rPr>
        <w:t xml:space="preserve"> </w:t>
      </w:r>
      <w:r w:rsidR="008E3455" w:rsidRPr="005F3228">
        <w:rPr>
          <w:rFonts w:ascii="David" w:hAnsi="David" w:cs="David" w:hint="eastAsia"/>
          <w:sz w:val="24"/>
          <w:szCs w:val="24"/>
          <w:rtl/>
        </w:rPr>
        <w:t>יד</w:t>
      </w:r>
      <w:r w:rsidR="008E3455" w:rsidRPr="005F3228">
        <w:rPr>
          <w:rFonts w:ascii="David" w:hAnsi="David" w:cs="David"/>
          <w:sz w:val="24"/>
          <w:szCs w:val="24"/>
          <w:rtl/>
        </w:rPr>
        <w:t xml:space="preserve"> </w:t>
      </w:r>
      <w:r w:rsidR="008E3455" w:rsidRPr="005F3228">
        <w:rPr>
          <w:rFonts w:ascii="David" w:hAnsi="David" w:cs="David" w:hint="eastAsia"/>
          <w:sz w:val="24"/>
          <w:szCs w:val="24"/>
          <w:rtl/>
        </w:rPr>
        <w:t>אחת</w:t>
      </w:r>
      <w:r w:rsidR="008E3455" w:rsidRPr="005F3228">
        <w:rPr>
          <w:rFonts w:ascii="David" w:hAnsi="David" w:cs="David" w:hint="cs"/>
          <w:sz w:val="24"/>
          <w:szCs w:val="24"/>
          <w:rtl/>
        </w:rPr>
        <w:t>.</w:t>
      </w:r>
      <w:r w:rsidR="007C2623" w:rsidRPr="005F3228">
        <w:rPr>
          <w:rStyle w:val="FootnoteReference"/>
          <w:rFonts w:ascii="David" w:hAnsi="David" w:cs="David"/>
          <w:sz w:val="24"/>
          <w:szCs w:val="24"/>
          <w:rtl/>
        </w:rPr>
        <w:t xml:space="preserve"> </w:t>
      </w:r>
    </w:p>
    <w:p w14:paraId="0E734968" w14:textId="6C3E2B56" w:rsidR="00C97F6D" w:rsidRPr="005F3228" w:rsidRDefault="00CD1CEA" w:rsidP="00DD0A4A">
      <w:pPr>
        <w:spacing w:line="300" w:lineRule="exact"/>
        <w:jc w:val="both"/>
        <w:rPr>
          <w:rFonts w:ascii="David" w:hAnsi="David" w:cs="David"/>
          <w:sz w:val="24"/>
          <w:szCs w:val="24"/>
          <w:rtl/>
        </w:rPr>
      </w:pPr>
      <w:r w:rsidRPr="005F3228">
        <w:rPr>
          <w:rFonts w:ascii="David" w:hAnsi="David" w:cs="David" w:hint="cs"/>
          <w:sz w:val="24"/>
          <w:szCs w:val="24"/>
          <w:rtl/>
        </w:rPr>
        <w:t xml:space="preserve">הריסון העצמי אותו נוקטים בתי המשפט בהחלת הלכת </w:t>
      </w:r>
      <w:proofErr w:type="spellStart"/>
      <w:r w:rsidRPr="005F3228">
        <w:rPr>
          <w:rFonts w:ascii="David" w:hAnsi="David" w:cs="David" w:hint="cs"/>
          <w:sz w:val="24"/>
          <w:szCs w:val="24"/>
          <w:rtl/>
        </w:rPr>
        <w:t>א.ש.י.ר</w:t>
      </w:r>
      <w:proofErr w:type="spellEnd"/>
      <w:r w:rsidRPr="005F3228">
        <w:rPr>
          <w:rFonts w:ascii="David" w:hAnsi="David" w:cs="David" w:hint="cs"/>
          <w:sz w:val="24"/>
          <w:szCs w:val="24"/>
          <w:rtl/>
        </w:rPr>
        <w:t>. מתבטא גם ב</w:t>
      </w:r>
      <w:r w:rsidR="008E3455" w:rsidRPr="005F3228">
        <w:rPr>
          <w:rFonts w:ascii="David" w:hAnsi="David" w:cs="David" w:hint="cs"/>
          <w:sz w:val="24"/>
          <w:szCs w:val="24"/>
          <w:rtl/>
        </w:rPr>
        <w:t xml:space="preserve">פער בין מספר המקרים שבהם </w:t>
      </w:r>
      <w:r w:rsidR="008E3455" w:rsidRPr="005F3228">
        <w:rPr>
          <w:rFonts w:ascii="David" w:hAnsi="David" w:cs="David" w:hint="cs"/>
          <w:i/>
          <w:iCs/>
          <w:sz w:val="24"/>
          <w:szCs w:val="24"/>
          <w:rtl/>
        </w:rPr>
        <w:t>נטענה</w:t>
      </w:r>
      <w:r w:rsidR="008E3455" w:rsidRPr="005F3228">
        <w:rPr>
          <w:rFonts w:ascii="David" w:hAnsi="David" w:cs="David" w:hint="cs"/>
          <w:sz w:val="24"/>
          <w:szCs w:val="24"/>
          <w:rtl/>
        </w:rPr>
        <w:t xml:space="preserve"> טענת עשיית עושר</w:t>
      </w:r>
      <w:r w:rsidR="006F5D9D" w:rsidRPr="005F3228">
        <w:rPr>
          <w:rFonts w:ascii="David" w:hAnsi="David" w:cs="David" w:hint="cs"/>
          <w:sz w:val="24"/>
          <w:szCs w:val="24"/>
          <w:rtl/>
        </w:rPr>
        <w:t xml:space="preserve"> על ידי הצדדים</w:t>
      </w:r>
      <w:r w:rsidR="008E3455" w:rsidRPr="005F3228">
        <w:rPr>
          <w:rFonts w:ascii="David" w:hAnsi="David" w:cs="David" w:hint="cs"/>
          <w:sz w:val="24"/>
          <w:szCs w:val="24"/>
          <w:rtl/>
        </w:rPr>
        <w:t>, לבין מספר המקרים שבהם בית המשפט דן בה לגופו של עניין</w:t>
      </w:r>
      <w:r w:rsidRPr="005F3228">
        <w:rPr>
          <w:rFonts w:ascii="David" w:hAnsi="David" w:cs="David" w:hint="cs"/>
          <w:sz w:val="24"/>
          <w:szCs w:val="24"/>
          <w:rtl/>
        </w:rPr>
        <w:t>.</w:t>
      </w:r>
      <w:r w:rsidR="008E3455" w:rsidRPr="005F3228">
        <w:rPr>
          <w:rFonts w:ascii="David" w:hAnsi="David" w:cs="David" w:hint="cs"/>
          <w:sz w:val="24"/>
          <w:szCs w:val="24"/>
          <w:rtl/>
        </w:rPr>
        <w:t xml:space="preserve"> </w:t>
      </w:r>
      <w:r w:rsidRPr="005F3228">
        <w:rPr>
          <w:rFonts w:ascii="David" w:hAnsi="David" w:cs="David" w:hint="cs"/>
          <w:sz w:val="24"/>
          <w:szCs w:val="24"/>
          <w:rtl/>
        </w:rPr>
        <w:t>פער זה מ</w:t>
      </w:r>
      <w:r w:rsidR="006F5D9D" w:rsidRPr="005F3228">
        <w:rPr>
          <w:rFonts w:ascii="David" w:hAnsi="David" w:cs="David" w:hint="cs"/>
          <w:sz w:val="24"/>
          <w:szCs w:val="24"/>
          <w:rtl/>
        </w:rPr>
        <w:t>צביע</w:t>
      </w:r>
      <w:r w:rsidR="008E3455" w:rsidRPr="005F3228">
        <w:rPr>
          <w:rFonts w:ascii="David" w:hAnsi="David" w:cs="David" w:hint="cs"/>
          <w:sz w:val="24"/>
          <w:szCs w:val="24"/>
          <w:rtl/>
        </w:rPr>
        <w:t xml:space="preserve"> על כך שלמרות שעורכי דין נוטים להוסיף את עילת עשיית העושר לתביעות קניין רוחני</w:t>
      </w:r>
      <w:r w:rsidR="006F5D9D" w:rsidRPr="005F3228">
        <w:rPr>
          <w:rFonts w:ascii="David" w:hAnsi="David" w:cs="David" w:hint="cs"/>
          <w:sz w:val="24"/>
          <w:szCs w:val="24"/>
          <w:rtl/>
        </w:rPr>
        <w:t xml:space="preserve"> </w:t>
      </w:r>
      <w:r w:rsidR="00DD0A4A" w:rsidRPr="005F3228">
        <w:rPr>
          <w:rFonts w:ascii="David" w:hAnsi="David" w:cs="David" w:hint="cs"/>
          <w:sz w:val="24"/>
          <w:szCs w:val="24"/>
          <w:rtl/>
        </w:rPr>
        <w:t>כעניין שבשגרה</w:t>
      </w:r>
      <w:r w:rsidR="008E3455" w:rsidRPr="005F3228">
        <w:rPr>
          <w:rFonts w:ascii="David" w:hAnsi="David" w:cs="David" w:hint="cs"/>
          <w:sz w:val="24"/>
          <w:szCs w:val="24"/>
          <w:rtl/>
        </w:rPr>
        <w:t>, בתי המשפט אינם ממהרים להתרשם מכך</w:t>
      </w:r>
      <w:r w:rsidR="008E3455" w:rsidRPr="005F3228">
        <w:rPr>
          <w:rFonts w:ascii="David" w:hAnsi="David" w:cs="David"/>
          <w:sz w:val="24"/>
          <w:szCs w:val="24"/>
          <w:rtl/>
        </w:rPr>
        <w:t xml:space="preserve">, </w:t>
      </w:r>
      <w:r w:rsidR="008E3455" w:rsidRPr="005F3228">
        <w:rPr>
          <w:rFonts w:ascii="David" w:hAnsi="David" w:cs="David" w:hint="cs"/>
          <w:sz w:val="24"/>
          <w:szCs w:val="24"/>
          <w:rtl/>
        </w:rPr>
        <w:t>ו</w:t>
      </w:r>
      <w:r w:rsidR="008E3455" w:rsidRPr="005F3228">
        <w:rPr>
          <w:rFonts w:ascii="David" w:hAnsi="David" w:cs="David"/>
          <w:sz w:val="24"/>
          <w:szCs w:val="24"/>
          <w:rtl/>
        </w:rPr>
        <w:t>לאו דווקא מייחסים לעילה זו משמעות רבה בכל מקרה בו היא נטענת.</w:t>
      </w:r>
      <w:r w:rsidR="008E3455" w:rsidRPr="005F3228">
        <w:rPr>
          <w:rStyle w:val="FootnoteReference"/>
          <w:rFonts w:ascii="David" w:hAnsi="David" w:cs="David"/>
          <w:sz w:val="24"/>
          <w:szCs w:val="24"/>
          <w:rtl/>
        </w:rPr>
        <w:footnoteReference w:id="130"/>
      </w:r>
      <w:r w:rsidR="008E3455" w:rsidRPr="005F3228">
        <w:rPr>
          <w:rFonts w:ascii="David" w:hAnsi="David" w:cs="David"/>
          <w:sz w:val="24"/>
          <w:szCs w:val="24"/>
          <w:rtl/>
        </w:rPr>
        <w:t xml:space="preserve"> </w:t>
      </w:r>
      <w:r w:rsidRPr="005F3228">
        <w:rPr>
          <w:rFonts w:ascii="David" w:hAnsi="David" w:cs="David" w:hint="cs"/>
          <w:sz w:val="24"/>
          <w:szCs w:val="24"/>
          <w:rtl/>
        </w:rPr>
        <w:t xml:space="preserve">התבטאויות שונות בפסקי הדין </w:t>
      </w:r>
      <w:r w:rsidR="00DC2470" w:rsidRPr="005F3228">
        <w:rPr>
          <w:rFonts w:ascii="David" w:hAnsi="David" w:cs="David" w:hint="cs"/>
          <w:sz w:val="24"/>
          <w:szCs w:val="24"/>
          <w:rtl/>
        </w:rPr>
        <w:t xml:space="preserve">שנבחנו </w:t>
      </w:r>
      <w:r w:rsidRPr="005F3228">
        <w:rPr>
          <w:rFonts w:ascii="David" w:hAnsi="David" w:cs="David" w:hint="cs"/>
          <w:sz w:val="24"/>
          <w:szCs w:val="24"/>
          <w:rtl/>
        </w:rPr>
        <w:t>מלמדות אף ה</w:t>
      </w:r>
      <w:r w:rsidR="00C97F6D" w:rsidRPr="005F3228">
        <w:rPr>
          <w:rFonts w:ascii="David" w:hAnsi="David" w:cs="David" w:hint="cs"/>
          <w:sz w:val="24"/>
          <w:szCs w:val="24"/>
          <w:rtl/>
        </w:rPr>
        <w:t>ן</w:t>
      </w:r>
      <w:r w:rsidRPr="005F3228">
        <w:rPr>
          <w:rFonts w:ascii="David" w:hAnsi="David" w:cs="David" w:hint="cs"/>
          <w:sz w:val="24"/>
          <w:szCs w:val="24"/>
          <w:rtl/>
        </w:rPr>
        <w:t xml:space="preserve"> על </w:t>
      </w:r>
      <w:r w:rsidR="00DC2470" w:rsidRPr="005F3228">
        <w:rPr>
          <w:rFonts w:ascii="David" w:hAnsi="David" w:cs="David" w:hint="cs"/>
          <w:sz w:val="24"/>
          <w:szCs w:val="24"/>
          <w:rtl/>
        </w:rPr>
        <w:t xml:space="preserve">כך שבתי המשפט מודעים לקושי הפוטנציאלי שבהסתמכות רחבה </w:t>
      </w:r>
      <w:r w:rsidRPr="005F3228">
        <w:rPr>
          <w:rFonts w:ascii="David" w:hAnsi="David" w:cs="David" w:hint="cs"/>
          <w:sz w:val="24"/>
          <w:szCs w:val="24"/>
          <w:rtl/>
        </w:rPr>
        <w:t>על דיני עשיית עושר</w:t>
      </w:r>
      <w:r w:rsidR="00DC2470" w:rsidRPr="005F3228">
        <w:rPr>
          <w:rFonts w:ascii="David" w:hAnsi="David" w:cs="David" w:hint="cs"/>
          <w:sz w:val="24"/>
          <w:szCs w:val="24"/>
          <w:rtl/>
        </w:rPr>
        <w:t xml:space="preserve"> כמכשיר להגנת תוצרים רוחניים</w:t>
      </w:r>
      <w:r w:rsidRPr="005F3228">
        <w:rPr>
          <w:rFonts w:ascii="David" w:hAnsi="David" w:cs="David" w:hint="cs"/>
          <w:sz w:val="24"/>
          <w:szCs w:val="24"/>
          <w:rtl/>
        </w:rPr>
        <w:t>,</w:t>
      </w:r>
      <w:r w:rsidR="00DC2470" w:rsidRPr="005F3228">
        <w:rPr>
          <w:rFonts w:ascii="David" w:hAnsi="David" w:cs="David" w:hint="cs"/>
          <w:sz w:val="24"/>
          <w:szCs w:val="24"/>
          <w:rtl/>
        </w:rPr>
        <w:t xml:space="preserve"> ונוקטים</w:t>
      </w:r>
      <w:r w:rsidR="00C97F6D" w:rsidRPr="005F3228">
        <w:rPr>
          <w:rFonts w:ascii="David" w:hAnsi="David" w:cs="David" w:hint="cs"/>
          <w:sz w:val="24"/>
          <w:szCs w:val="24"/>
          <w:rtl/>
        </w:rPr>
        <w:t>,</w:t>
      </w:r>
      <w:r w:rsidR="00DC2470" w:rsidRPr="005F3228">
        <w:rPr>
          <w:rFonts w:ascii="David" w:hAnsi="David" w:cs="David" w:hint="cs"/>
          <w:sz w:val="24"/>
          <w:szCs w:val="24"/>
          <w:rtl/>
        </w:rPr>
        <w:t xml:space="preserve"> </w:t>
      </w:r>
      <w:r w:rsidR="00C97F6D" w:rsidRPr="005F3228">
        <w:rPr>
          <w:rFonts w:ascii="David" w:hAnsi="David" w:cs="David" w:hint="cs"/>
          <w:sz w:val="24"/>
          <w:szCs w:val="24"/>
          <w:rtl/>
        </w:rPr>
        <w:t xml:space="preserve">במודע, </w:t>
      </w:r>
      <w:r w:rsidR="00DC2470" w:rsidRPr="005F3228">
        <w:rPr>
          <w:rFonts w:ascii="David" w:hAnsi="David" w:cs="David" w:hint="cs"/>
          <w:sz w:val="24"/>
          <w:szCs w:val="24"/>
          <w:rtl/>
        </w:rPr>
        <w:t>בגישה מרוסנת וזהירה.</w:t>
      </w:r>
      <w:r w:rsidR="0052703C" w:rsidRPr="005F3228">
        <w:rPr>
          <w:rStyle w:val="FootnoteReference"/>
          <w:rFonts w:ascii="David" w:hAnsi="David" w:cs="David"/>
          <w:sz w:val="24"/>
          <w:szCs w:val="24"/>
        </w:rPr>
        <w:footnoteReference w:id="131"/>
      </w:r>
      <w:r w:rsidR="006F5D9D" w:rsidRPr="005F3228">
        <w:rPr>
          <w:rFonts w:ascii="David" w:hAnsi="David" w:cs="David" w:hint="cs"/>
          <w:sz w:val="24"/>
          <w:szCs w:val="24"/>
          <w:rtl/>
        </w:rPr>
        <w:t xml:space="preserve"> </w:t>
      </w:r>
      <w:r w:rsidR="00BE059F" w:rsidRPr="005F3228">
        <w:rPr>
          <w:rFonts w:ascii="David" w:hAnsi="David" w:cs="David" w:hint="cs"/>
          <w:sz w:val="24"/>
          <w:szCs w:val="24"/>
          <w:rtl/>
        </w:rPr>
        <w:t>בשורה התחתונה</w:t>
      </w:r>
      <w:r w:rsidR="00DC2470" w:rsidRPr="005F3228">
        <w:rPr>
          <w:rFonts w:ascii="David" w:hAnsi="David" w:cs="David" w:hint="cs"/>
          <w:sz w:val="24"/>
          <w:szCs w:val="24"/>
          <w:rtl/>
        </w:rPr>
        <w:t>, הפסיקה</w:t>
      </w:r>
      <w:r w:rsidR="008E3455" w:rsidRPr="005F3228">
        <w:rPr>
          <w:rFonts w:ascii="David" w:hAnsi="David" w:cs="David"/>
          <w:sz w:val="24"/>
          <w:szCs w:val="24"/>
          <w:rtl/>
        </w:rPr>
        <w:t xml:space="preserve"> </w:t>
      </w:r>
      <w:r w:rsidR="00DC2470" w:rsidRPr="005F3228">
        <w:rPr>
          <w:rFonts w:ascii="David" w:hAnsi="David" w:cs="David" w:hint="cs"/>
          <w:sz w:val="24"/>
          <w:szCs w:val="24"/>
          <w:rtl/>
        </w:rPr>
        <w:t xml:space="preserve">יישמה את </w:t>
      </w:r>
      <w:r w:rsidR="0047225C" w:rsidRPr="005F3228">
        <w:rPr>
          <w:rFonts w:ascii="David" w:hAnsi="David" w:cs="David" w:hint="cs"/>
          <w:sz w:val="24"/>
          <w:szCs w:val="24"/>
          <w:rtl/>
        </w:rPr>
        <w:t xml:space="preserve">הלכת </w:t>
      </w:r>
      <w:proofErr w:type="spellStart"/>
      <w:r w:rsidR="0047225C" w:rsidRPr="005F3228">
        <w:rPr>
          <w:rFonts w:ascii="David" w:hAnsi="David" w:cs="David" w:hint="cs"/>
          <w:sz w:val="24"/>
          <w:szCs w:val="24"/>
          <w:rtl/>
        </w:rPr>
        <w:t>א.ש.י.ר</w:t>
      </w:r>
      <w:proofErr w:type="spellEnd"/>
      <w:r w:rsidR="0047225C" w:rsidRPr="005F3228">
        <w:rPr>
          <w:rFonts w:ascii="David" w:hAnsi="David" w:cs="David" w:hint="cs"/>
          <w:sz w:val="24"/>
          <w:szCs w:val="24"/>
          <w:rtl/>
        </w:rPr>
        <w:t>. לצורך פיתוח הדין</w:t>
      </w:r>
      <w:r w:rsidR="00DC2470" w:rsidRPr="005F3228">
        <w:rPr>
          <w:rFonts w:ascii="David" w:hAnsi="David" w:cs="David" w:hint="cs"/>
          <w:sz w:val="24"/>
          <w:szCs w:val="24"/>
          <w:rtl/>
        </w:rPr>
        <w:t xml:space="preserve"> במקרים מועטים, </w:t>
      </w:r>
      <w:r w:rsidR="0047225C" w:rsidRPr="005F3228">
        <w:rPr>
          <w:rFonts w:ascii="David" w:hAnsi="David" w:cs="David" w:hint="cs"/>
          <w:sz w:val="24"/>
          <w:szCs w:val="24"/>
          <w:rtl/>
        </w:rPr>
        <w:t xml:space="preserve">אשר </w:t>
      </w:r>
      <w:r w:rsidR="00DC2470" w:rsidRPr="005F3228">
        <w:rPr>
          <w:rFonts w:ascii="David" w:hAnsi="David" w:cs="David" w:hint="cs"/>
          <w:sz w:val="24"/>
          <w:szCs w:val="24"/>
          <w:rtl/>
        </w:rPr>
        <w:t>רובם הגדול</w:t>
      </w:r>
      <w:r w:rsidR="00C97F6D" w:rsidRPr="005F3228">
        <w:rPr>
          <w:rFonts w:ascii="David" w:hAnsi="David" w:cs="David" w:hint="cs"/>
          <w:sz w:val="24"/>
          <w:szCs w:val="24"/>
          <w:rtl/>
        </w:rPr>
        <w:t xml:space="preserve"> תואם את "מפת הדרכים" שהתווה בית המשפט העליון בפסק הדין</w:t>
      </w:r>
      <w:r w:rsidR="00EF3C0B" w:rsidRPr="005F3228">
        <w:rPr>
          <w:rFonts w:ascii="David" w:hAnsi="David" w:cs="David" w:hint="cs"/>
          <w:sz w:val="24"/>
          <w:szCs w:val="24"/>
          <w:rtl/>
        </w:rPr>
        <w:t xml:space="preserve"> המקורי</w:t>
      </w:r>
      <w:r w:rsidR="00C97F6D" w:rsidRPr="005F3228">
        <w:rPr>
          <w:rFonts w:ascii="David" w:hAnsi="David" w:cs="David" w:hint="cs"/>
          <w:sz w:val="24"/>
          <w:szCs w:val="24"/>
          <w:rtl/>
        </w:rPr>
        <w:t xml:space="preserve">, </w:t>
      </w:r>
      <w:r w:rsidR="008E3455" w:rsidRPr="005F3228">
        <w:rPr>
          <w:rFonts w:ascii="David" w:hAnsi="David" w:cs="David"/>
          <w:sz w:val="24"/>
          <w:szCs w:val="24"/>
          <w:rtl/>
        </w:rPr>
        <w:t>כאשר הצורך לשמר את נחלת הכלל ואת התחרות החופשית עומד לנגד עיניה.</w:t>
      </w:r>
      <w:r w:rsidR="00C97F6D" w:rsidRPr="005F3228">
        <w:rPr>
          <w:rFonts w:ascii="David" w:hAnsi="David" w:cs="David" w:hint="cs"/>
          <w:sz w:val="24"/>
          <w:szCs w:val="24"/>
          <w:rtl/>
        </w:rPr>
        <w:t xml:space="preserve"> </w:t>
      </w:r>
    </w:p>
    <w:p w14:paraId="77D3D0E0" w14:textId="77777777" w:rsidR="00F215A5" w:rsidRPr="005F3228" w:rsidRDefault="00666C51" w:rsidP="00DA4BD9">
      <w:pPr>
        <w:spacing w:line="300" w:lineRule="exact"/>
        <w:jc w:val="both"/>
        <w:rPr>
          <w:rFonts w:ascii="David" w:hAnsi="David" w:cs="David"/>
          <w:sz w:val="24"/>
          <w:szCs w:val="24"/>
          <w:rtl/>
        </w:rPr>
      </w:pPr>
      <w:r w:rsidRPr="005F3228">
        <w:rPr>
          <w:rFonts w:ascii="David" w:hAnsi="David" w:cs="David" w:hint="cs"/>
          <w:sz w:val="24"/>
          <w:szCs w:val="24"/>
          <w:rtl/>
        </w:rPr>
        <w:t>ממצאי המחקר</w:t>
      </w:r>
      <w:r w:rsidRPr="005F3228">
        <w:rPr>
          <w:rFonts w:ascii="David" w:hAnsi="David" w:cs="David"/>
          <w:sz w:val="24"/>
          <w:szCs w:val="24"/>
          <w:rtl/>
        </w:rPr>
        <w:t xml:space="preserve"> מפיג</w:t>
      </w:r>
      <w:r w:rsidRPr="005F3228">
        <w:rPr>
          <w:rFonts w:ascii="David" w:hAnsi="David" w:cs="David" w:hint="cs"/>
          <w:sz w:val="24"/>
          <w:szCs w:val="24"/>
          <w:rtl/>
        </w:rPr>
        <w:t>ים</w:t>
      </w:r>
      <w:r w:rsidRPr="005F3228">
        <w:rPr>
          <w:rFonts w:ascii="David" w:hAnsi="David" w:cs="David"/>
          <w:sz w:val="24"/>
          <w:szCs w:val="24"/>
          <w:rtl/>
        </w:rPr>
        <w:t>, במידה רבה, את החששות כי ההלכה יצרה "פריצת גבולות", כאוס, או חוסר וודאות משמעותי בתחום הקניין הרוחני.</w:t>
      </w:r>
      <w:r w:rsidR="00CF73B9" w:rsidRPr="005F3228">
        <w:rPr>
          <w:rFonts w:ascii="David" w:hAnsi="David" w:cs="David" w:hint="cs"/>
          <w:sz w:val="24"/>
          <w:szCs w:val="24"/>
          <w:rtl/>
        </w:rPr>
        <w:t xml:space="preserve"> </w:t>
      </w:r>
      <w:r w:rsidR="00CF73B9" w:rsidRPr="005F3228">
        <w:rPr>
          <w:rFonts w:ascii="David" w:hAnsi="David" w:cs="David"/>
          <w:sz w:val="24"/>
          <w:szCs w:val="24"/>
          <w:rtl/>
        </w:rPr>
        <w:t>סביר להניח ש</w:t>
      </w:r>
      <w:r w:rsidR="00CF73B9" w:rsidRPr="005F3228">
        <w:rPr>
          <w:rFonts w:ascii="David" w:hAnsi="David" w:cs="David" w:hint="cs"/>
          <w:sz w:val="24"/>
          <w:szCs w:val="24"/>
          <w:rtl/>
        </w:rPr>
        <w:t xml:space="preserve">גם </w:t>
      </w:r>
      <w:r w:rsidR="00CF73B9" w:rsidRPr="005F3228">
        <w:rPr>
          <w:rFonts w:ascii="David" w:hAnsi="David" w:cs="David"/>
          <w:sz w:val="24"/>
          <w:szCs w:val="24"/>
          <w:rtl/>
        </w:rPr>
        <w:t xml:space="preserve">התמריץ של מפתחי תוצרים רוחניים </w:t>
      </w:r>
      <w:r w:rsidR="00CF73B9" w:rsidRPr="005F3228">
        <w:rPr>
          <w:rFonts w:ascii="David" w:hAnsi="David" w:cs="David" w:hint="cs"/>
          <w:sz w:val="24"/>
          <w:szCs w:val="24"/>
          <w:rtl/>
        </w:rPr>
        <w:t xml:space="preserve">לרשום זכויות קניין רוחני (במקרים בהם הדבר נדרש ואפשרי) </w:t>
      </w:r>
      <w:r w:rsidR="00CF73B9" w:rsidRPr="005F3228">
        <w:rPr>
          <w:rFonts w:ascii="David" w:hAnsi="David" w:cs="David"/>
          <w:sz w:val="24"/>
          <w:szCs w:val="24"/>
          <w:rtl/>
        </w:rPr>
        <w:t>לא פחת</w:t>
      </w:r>
      <w:r w:rsidR="00AC2033" w:rsidRPr="005F3228">
        <w:rPr>
          <w:rFonts w:ascii="David" w:hAnsi="David" w:cs="David"/>
          <w:sz w:val="24"/>
          <w:szCs w:val="24"/>
          <w:rtl/>
        </w:rPr>
        <w:t xml:space="preserve"> כתוצאה מהלכת </w:t>
      </w:r>
      <w:proofErr w:type="spellStart"/>
      <w:r w:rsidR="00AC2033" w:rsidRPr="005F3228">
        <w:rPr>
          <w:rFonts w:ascii="David" w:hAnsi="David" w:cs="David"/>
          <w:sz w:val="24"/>
          <w:szCs w:val="24"/>
          <w:rtl/>
        </w:rPr>
        <w:t>א.ש.י.ר</w:t>
      </w:r>
      <w:proofErr w:type="spellEnd"/>
      <w:r w:rsidR="00AC2033" w:rsidRPr="005F3228">
        <w:rPr>
          <w:rFonts w:ascii="David" w:hAnsi="David" w:cs="David" w:hint="cs"/>
          <w:sz w:val="24"/>
          <w:szCs w:val="24"/>
          <w:rtl/>
        </w:rPr>
        <w:t>, ולמצער אין זה סביר שיפחת לאור ממצאי המחקר בדבר</w:t>
      </w:r>
      <w:r w:rsidR="00AC2033" w:rsidRPr="005F3228">
        <w:rPr>
          <w:rFonts w:ascii="David" w:hAnsi="David" w:cs="David"/>
          <w:sz w:val="24"/>
          <w:szCs w:val="24"/>
          <w:rtl/>
        </w:rPr>
        <w:t xml:space="preserve"> מיעוט המקרים בהם התקבלה עילה בעשיית עושר</w:t>
      </w:r>
      <w:r w:rsidR="00AC2033" w:rsidRPr="005F3228">
        <w:rPr>
          <w:rFonts w:ascii="David" w:hAnsi="David" w:cs="David" w:hint="cs"/>
          <w:sz w:val="24"/>
          <w:szCs w:val="24"/>
          <w:rtl/>
        </w:rPr>
        <w:t xml:space="preserve">. </w:t>
      </w:r>
      <w:r w:rsidR="0052703C" w:rsidRPr="005F3228">
        <w:rPr>
          <w:rFonts w:ascii="David" w:hAnsi="David" w:cs="David" w:hint="cs"/>
          <w:sz w:val="24"/>
          <w:szCs w:val="24"/>
          <w:rtl/>
        </w:rPr>
        <w:t xml:space="preserve">בחלוף עשרים שנה מפסק הדין בעניין </w:t>
      </w:r>
      <w:proofErr w:type="spellStart"/>
      <w:r w:rsidR="0052703C" w:rsidRPr="005F3228">
        <w:rPr>
          <w:rFonts w:ascii="David" w:hAnsi="David" w:cs="David" w:hint="cs"/>
          <w:sz w:val="24"/>
          <w:szCs w:val="24"/>
          <w:rtl/>
        </w:rPr>
        <w:t>א.ש.י.ר</w:t>
      </w:r>
      <w:proofErr w:type="spellEnd"/>
      <w:r w:rsidR="0052703C" w:rsidRPr="005F3228">
        <w:rPr>
          <w:rFonts w:ascii="David" w:hAnsi="David" w:cs="David" w:hint="cs"/>
          <w:sz w:val="24"/>
          <w:szCs w:val="24"/>
          <w:rtl/>
        </w:rPr>
        <w:t xml:space="preserve">. </w:t>
      </w:r>
      <w:r w:rsidR="00F215A5" w:rsidRPr="005F3228">
        <w:rPr>
          <w:rFonts w:ascii="David" w:hAnsi="David" w:cs="David"/>
          <w:sz w:val="24"/>
          <w:szCs w:val="24"/>
          <w:rtl/>
        </w:rPr>
        <w:t xml:space="preserve">ניתן </w:t>
      </w:r>
      <w:r w:rsidR="00CF73B9" w:rsidRPr="005F3228">
        <w:rPr>
          <w:rFonts w:ascii="David" w:hAnsi="David" w:cs="David" w:hint="cs"/>
          <w:sz w:val="24"/>
          <w:szCs w:val="24"/>
          <w:rtl/>
        </w:rPr>
        <w:t xml:space="preserve">להערכתנו </w:t>
      </w:r>
      <w:r w:rsidR="00F215A5" w:rsidRPr="005F3228">
        <w:rPr>
          <w:rFonts w:ascii="David" w:hAnsi="David" w:cs="David"/>
          <w:sz w:val="24"/>
          <w:szCs w:val="24"/>
          <w:rtl/>
        </w:rPr>
        <w:t>לומר בבטחה</w:t>
      </w:r>
      <w:r w:rsidR="0052703C" w:rsidRPr="005F3228">
        <w:rPr>
          <w:rFonts w:ascii="David" w:hAnsi="David" w:cs="David" w:hint="cs"/>
          <w:sz w:val="24"/>
          <w:szCs w:val="24"/>
          <w:rtl/>
        </w:rPr>
        <w:t>,</w:t>
      </w:r>
      <w:r w:rsidR="00F215A5" w:rsidRPr="005F3228">
        <w:rPr>
          <w:rFonts w:ascii="David" w:hAnsi="David" w:cs="David"/>
          <w:sz w:val="24"/>
          <w:szCs w:val="24"/>
          <w:rtl/>
        </w:rPr>
        <w:t xml:space="preserve"> כי דיני הקניין הרוחני הממוסדים, הכוללים היום אף את המסלול להגנה על עיצובים לא רשומים מכוח דיני העיצובים, עדיין מ</w:t>
      </w:r>
      <w:r w:rsidR="0052703C" w:rsidRPr="005F3228">
        <w:rPr>
          <w:rFonts w:ascii="David" w:hAnsi="David" w:cs="David" w:hint="cs"/>
          <w:sz w:val="24"/>
          <w:szCs w:val="24"/>
          <w:rtl/>
        </w:rPr>
        <w:t>ה</w:t>
      </w:r>
      <w:r w:rsidR="00F215A5" w:rsidRPr="005F3228">
        <w:rPr>
          <w:rFonts w:ascii="David" w:hAnsi="David" w:cs="David"/>
          <w:sz w:val="24"/>
          <w:szCs w:val="24"/>
          <w:rtl/>
        </w:rPr>
        <w:t>ווים במשפטנו את "דרך המלך" להגנה על זכאויות בתחום הקניין הרוחני.</w:t>
      </w:r>
      <w:bookmarkStart w:id="56" w:name="_Ref39480804"/>
      <w:r w:rsidR="00C738E8" w:rsidRPr="005F3228">
        <w:rPr>
          <w:rStyle w:val="FootnoteReference"/>
          <w:rFonts w:ascii="David" w:hAnsi="David" w:cs="David"/>
          <w:sz w:val="24"/>
          <w:szCs w:val="24"/>
          <w:rtl/>
        </w:rPr>
        <w:footnoteReference w:id="132"/>
      </w:r>
      <w:bookmarkEnd w:id="56"/>
      <w:r w:rsidR="00F215A5" w:rsidRPr="005F3228">
        <w:rPr>
          <w:rFonts w:ascii="David" w:hAnsi="David" w:cs="David"/>
          <w:sz w:val="24"/>
          <w:szCs w:val="24"/>
          <w:rtl/>
        </w:rPr>
        <w:t xml:space="preserve"> תפקידם ומעמדם של דיני עשיית עושר בהקשר זה </w:t>
      </w:r>
      <w:r w:rsidR="00EF3C0B" w:rsidRPr="005F3228">
        <w:rPr>
          <w:rFonts w:ascii="David" w:hAnsi="David" w:cs="David" w:hint="eastAsia"/>
          <w:sz w:val="24"/>
          <w:szCs w:val="24"/>
          <w:rtl/>
        </w:rPr>
        <w:t>נותר</w:t>
      </w:r>
      <w:r w:rsidR="00EF3C0B" w:rsidRPr="005F3228">
        <w:rPr>
          <w:rFonts w:ascii="David" w:hAnsi="David" w:cs="David"/>
          <w:sz w:val="24"/>
          <w:szCs w:val="24"/>
          <w:rtl/>
        </w:rPr>
        <w:t xml:space="preserve"> </w:t>
      </w:r>
      <w:r w:rsidR="00F215A5" w:rsidRPr="005F3228">
        <w:rPr>
          <w:rFonts w:ascii="David" w:hAnsi="David" w:cs="David"/>
          <w:sz w:val="24"/>
          <w:szCs w:val="24"/>
          <w:rtl/>
        </w:rPr>
        <w:t xml:space="preserve">משני, גם לאחר הלכת </w:t>
      </w:r>
      <w:proofErr w:type="spellStart"/>
      <w:r w:rsidR="00F215A5" w:rsidRPr="005F3228">
        <w:rPr>
          <w:rFonts w:ascii="David" w:hAnsi="David" w:cs="David"/>
          <w:sz w:val="24"/>
          <w:szCs w:val="24"/>
          <w:rtl/>
        </w:rPr>
        <w:t>א.ש.י.ר</w:t>
      </w:r>
      <w:proofErr w:type="spellEnd"/>
      <w:r w:rsidR="00F215A5" w:rsidRPr="005F3228">
        <w:rPr>
          <w:rFonts w:ascii="David" w:hAnsi="David" w:cs="David"/>
          <w:sz w:val="24"/>
          <w:szCs w:val="24"/>
          <w:rtl/>
        </w:rPr>
        <w:t xml:space="preserve">. </w:t>
      </w:r>
      <w:r w:rsidR="00CC6A03" w:rsidRPr="005F3228">
        <w:rPr>
          <w:rFonts w:ascii="David" w:hAnsi="David" w:cs="David" w:hint="cs"/>
          <w:sz w:val="24"/>
          <w:szCs w:val="24"/>
          <w:rtl/>
        </w:rPr>
        <w:t xml:space="preserve">מעניין לציין </w:t>
      </w:r>
      <w:r w:rsidR="00C16855" w:rsidRPr="005F3228">
        <w:rPr>
          <w:rFonts w:ascii="David" w:hAnsi="David" w:cs="David" w:hint="cs"/>
          <w:sz w:val="24"/>
          <w:szCs w:val="24"/>
          <w:rtl/>
        </w:rPr>
        <w:t xml:space="preserve">כי </w:t>
      </w:r>
      <w:r w:rsidR="00CD5FED" w:rsidRPr="005F3228">
        <w:rPr>
          <w:rFonts w:ascii="David" w:hAnsi="David" w:cs="David" w:hint="cs"/>
          <w:sz w:val="24"/>
          <w:szCs w:val="24"/>
          <w:rtl/>
        </w:rPr>
        <w:t>גם</w:t>
      </w:r>
      <w:r w:rsidR="00C16855" w:rsidRPr="005F3228">
        <w:rPr>
          <w:rFonts w:ascii="David" w:hAnsi="David" w:cs="David" w:hint="cs"/>
          <w:sz w:val="24"/>
          <w:szCs w:val="24"/>
          <w:rtl/>
        </w:rPr>
        <w:t xml:space="preserve"> </w:t>
      </w:r>
      <w:r w:rsidR="001B71B7" w:rsidRPr="005F3228">
        <w:rPr>
          <w:rFonts w:ascii="David" w:hAnsi="David" w:cs="David" w:hint="cs"/>
          <w:sz w:val="24"/>
          <w:szCs w:val="24"/>
          <w:rtl/>
        </w:rPr>
        <w:t>בהקשר</w:t>
      </w:r>
      <w:r w:rsidR="00CD5FED" w:rsidRPr="005F3228">
        <w:rPr>
          <w:rFonts w:ascii="David" w:hAnsi="David" w:cs="David" w:hint="cs"/>
          <w:sz w:val="24"/>
          <w:szCs w:val="24"/>
          <w:rtl/>
        </w:rPr>
        <w:t xml:space="preserve"> אחר</w:t>
      </w:r>
      <w:r w:rsidR="00EE643E" w:rsidRPr="005F3228">
        <w:rPr>
          <w:rFonts w:ascii="David" w:hAnsi="David" w:cs="David" w:hint="cs"/>
          <w:sz w:val="24"/>
          <w:szCs w:val="24"/>
          <w:rtl/>
        </w:rPr>
        <w:t xml:space="preserve"> במשפט הפרטי</w:t>
      </w:r>
      <w:r w:rsidR="00CD5FED" w:rsidRPr="005F3228">
        <w:rPr>
          <w:rFonts w:ascii="David" w:hAnsi="David" w:cs="David" w:hint="cs"/>
          <w:sz w:val="24"/>
          <w:szCs w:val="24"/>
          <w:rtl/>
        </w:rPr>
        <w:t xml:space="preserve">, שבו נקבע כי קיימת תחולה עקרונית לדיני עשיית העושר </w:t>
      </w:r>
      <w:r w:rsidR="00CD5FED" w:rsidRPr="005F3228">
        <w:rPr>
          <w:rFonts w:ascii="David" w:hAnsi="David" w:cs="David" w:hint="eastAsia"/>
          <w:sz w:val="24"/>
          <w:szCs w:val="24"/>
          <w:rtl/>
        </w:rPr>
        <w:t>חרף</w:t>
      </w:r>
      <w:r w:rsidR="00CD5FED" w:rsidRPr="005F3228">
        <w:rPr>
          <w:rFonts w:ascii="David" w:hAnsi="David" w:cs="David"/>
          <w:sz w:val="24"/>
          <w:szCs w:val="24"/>
          <w:rtl/>
        </w:rPr>
        <w:t xml:space="preserve"> </w:t>
      </w:r>
      <w:r w:rsidR="00CD5FED" w:rsidRPr="005F3228">
        <w:rPr>
          <w:rFonts w:ascii="David" w:hAnsi="David" w:cs="David" w:hint="eastAsia"/>
          <w:sz w:val="24"/>
          <w:szCs w:val="24"/>
          <w:rtl/>
        </w:rPr>
        <w:t>קיומו</w:t>
      </w:r>
      <w:r w:rsidR="00CD5FED" w:rsidRPr="005F3228">
        <w:rPr>
          <w:rFonts w:ascii="David" w:hAnsi="David" w:cs="David"/>
          <w:sz w:val="24"/>
          <w:szCs w:val="24"/>
          <w:rtl/>
        </w:rPr>
        <w:t xml:space="preserve"> </w:t>
      </w:r>
      <w:r w:rsidR="00CD5FED" w:rsidRPr="005F3228">
        <w:rPr>
          <w:rFonts w:ascii="David" w:hAnsi="David" w:cs="David" w:hint="eastAsia"/>
          <w:sz w:val="24"/>
          <w:szCs w:val="24"/>
          <w:rtl/>
        </w:rPr>
        <w:t>של</w:t>
      </w:r>
      <w:r w:rsidR="00CD5FED" w:rsidRPr="005F3228">
        <w:rPr>
          <w:rFonts w:ascii="David" w:hAnsi="David" w:cs="David"/>
          <w:sz w:val="24"/>
          <w:szCs w:val="24"/>
          <w:rtl/>
        </w:rPr>
        <w:t xml:space="preserve"> </w:t>
      </w:r>
      <w:r w:rsidR="00CD5FED" w:rsidRPr="005F3228">
        <w:rPr>
          <w:rFonts w:ascii="David" w:hAnsi="David" w:cs="David" w:hint="eastAsia"/>
          <w:sz w:val="24"/>
          <w:szCs w:val="24"/>
          <w:rtl/>
        </w:rPr>
        <w:t>חוזה</w:t>
      </w:r>
      <w:r w:rsidR="00CD5FED" w:rsidRPr="005F3228">
        <w:rPr>
          <w:rFonts w:ascii="David" w:hAnsi="David" w:cs="David"/>
          <w:sz w:val="24"/>
          <w:szCs w:val="24"/>
          <w:rtl/>
        </w:rPr>
        <w:t xml:space="preserve"> </w:t>
      </w:r>
      <w:r w:rsidR="00CD5FED" w:rsidRPr="005F3228">
        <w:rPr>
          <w:rFonts w:ascii="David" w:hAnsi="David" w:cs="David" w:hint="eastAsia"/>
          <w:sz w:val="24"/>
          <w:szCs w:val="24"/>
          <w:rtl/>
        </w:rPr>
        <w:t>בין</w:t>
      </w:r>
      <w:r w:rsidR="00CD5FED" w:rsidRPr="005F3228">
        <w:rPr>
          <w:rFonts w:ascii="David" w:hAnsi="David" w:cs="David"/>
          <w:sz w:val="24"/>
          <w:szCs w:val="24"/>
          <w:rtl/>
        </w:rPr>
        <w:t xml:space="preserve"> </w:t>
      </w:r>
      <w:r w:rsidR="00CD5FED" w:rsidRPr="005F3228">
        <w:rPr>
          <w:rFonts w:ascii="David" w:hAnsi="David" w:cs="David" w:hint="eastAsia"/>
          <w:sz w:val="24"/>
          <w:szCs w:val="24"/>
          <w:rtl/>
        </w:rPr>
        <w:t>הצדדים</w:t>
      </w:r>
      <w:r w:rsidR="00CD5FED" w:rsidRPr="005F3228">
        <w:rPr>
          <w:rFonts w:ascii="David" w:hAnsi="David" w:cs="David" w:hint="cs"/>
          <w:sz w:val="24"/>
          <w:szCs w:val="24"/>
          <w:rtl/>
        </w:rPr>
        <w:t>,</w:t>
      </w:r>
      <w:r w:rsidR="00C16855" w:rsidRPr="005F3228">
        <w:rPr>
          <w:rFonts w:ascii="David" w:hAnsi="David" w:cs="David" w:hint="cs"/>
          <w:sz w:val="24"/>
          <w:szCs w:val="24"/>
          <w:rtl/>
        </w:rPr>
        <w:t xml:space="preserve"> </w:t>
      </w:r>
      <w:r w:rsidR="00CD5FED" w:rsidRPr="005F3228">
        <w:rPr>
          <w:rFonts w:ascii="David" w:hAnsi="David" w:cs="David" w:hint="cs"/>
          <w:sz w:val="24"/>
          <w:szCs w:val="24"/>
          <w:rtl/>
        </w:rPr>
        <w:t xml:space="preserve">הסתבר כי השפעתם </w:t>
      </w:r>
      <w:r w:rsidR="008B0BD8" w:rsidRPr="005F3228">
        <w:rPr>
          <w:rFonts w:ascii="David" w:hAnsi="David" w:cs="David" w:hint="cs"/>
          <w:sz w:val="24"/>
          <w:szCs w:val="24"/>
          <w:rtl/>
        </w:rPr>
        <w:t xml:space="preserve">בפועל </w:t>
      </w:r>
      <w:proofErr w:type="spellStart"/>
      <w:r w:rsidR="00CD5FED" w:rsidRPr="005F3228">
        <w:rPr>
          <w:rFonts w:ascii="David" w:hAnsi="David" w:cs="David" w:hint="cs"/>
          <w:sz w:val="24"/>
          <w:szCs w:val="24"/>
          <w:rtl/>
        </w:rPr>
        <w:t>היתה</w:t>
      </w:r>
      <w:proofErr w:type="spellEnd"/>
      <w:r w:rsidR="00CD5FED" w:rsidRPr="005F3228">
        <w:rPr>
          <w:rFonts w:ascii="David" w:hAnsi="David" w:cs="David" w:hint="cs"/>
          <w:sz w:val="24"/>
          <w:szCs w:val="24"/>
          <w:rtl/>
        </w:rPr>
        <w:t xml:space="preserve"> </w:t>
      </w:r>
      <w:r w:rsidR="00065B81" w:rsidRPr="005F3228">
        <w:rPr>
          <w:rFonts w:ascii="David" w:hAnsi="David" w:cs="David" w:hint="cs"/>
          <w:sz w:val="24"/>
          <w:szCs w:val="24"/>
          <w:rtl/>
        </w:rPr>
        <w:t>מועטה</w:t>
      </w:r>
      <w:r w:rsidR="0052703C" w:rsidRPr="005F3228">
        <w:rPr>
          <w:rFonts w:ascii="David" w:hAnsi="David" w:cs="David" w:hint="cs"/>
          <w:sz w:val="24"/>
          <w:szCs w:val="24"/>
          <w:rtl/>
        </w:rPr>
        <w:t>.</w:t>
      </w:r>
      <w:r w:rsidR="00BC39D8" w:rsidRPr="005F3228">
        <w:rPr>
          <w:rStyle w:val="FootnoteReference"/>
          <w:rFonts w:ascii="David" w:hAnsi="David" w:cs="David"/>
          <w:sz w:val="24"/>
          <w:szCs w:val="24"/>
          <w:rtl/>
        </w:rPr>
        <w:footnoteReference w:id="133"/>
      </w:r>
      <w:r w:rsidR="00F215A5" w:rsidRPr="005F3228">
        <w:rPr>
          <w:rFonts w:ascii="David" w:hAnsi="David" w:cs="David"/>
          <w:sz w:val="24"/>
          <w:szCs w:val="24"/>
          <w:rtl/>
        </w:rPr>
        <w:t xml:space="preserve"> </w:t>
      </w:r>
    </w:p>
    <w:p w14:paraId="14012720" w14:textId="77777777" w:rsidR="0083506B" w:rsidRPr="005F3228" w:rsidRDefault="00CB6ED3" w:rsidP="00EC10A8">
      <w:pPr>
        <w:spacing w:line="300" w:lineRule="exact"/>
        <w:jc w:val="both"/>
        <w:rPr>
          <w:rFonts w:ascii="David" w:hAnsi="David" w:cs="David"/>
          <w:sz w:val="24"/>
          <w:szCs w:val="24"/>
          <w:rtl/>
        </w:rPr>
      </w:pPr>
      <w:r w:rsidRPr="005F3228">
        <w:rPr>
          <w:rFonts w:ascii="David" w:hAnsi="David" w:cs="David" w:hint="cs"/>
          <w:sz w:val="24"/>
          <w:szCs w:val="24"/>
          <w:rtl/>
        </w:rPr>
        <w:t>חשוב לה</w:t>
      </w:r>
      <w:r w:rsidR="00EF7E1C" w:rsidRPr="005F3228">
        <w:rPr>
          <w:rFonts w:ascii="David" w:hAnsi="David" w:cs="David" w:hint="cs"/>
          <w:sz w:val="24"/>
          <w:szCs w:val="24"/>
          <w:rtl/>
        </w:rPr>
        <w:t xml:space="preserve">בהיר עם זאת, כי </w:t>
      </w:r>
      <w:r w:rsidR="00F215A5" w:rsidRPr="005F3228">
        <w:rPr>
          <w:rFonts w:ascii="David" w:hAnsi="David" w:cs="David"/>
          <w:sz w:val="24"/>
          <w:szCs w:val="24"/>
          <w:rtl/>
        </w:rPr>
        <w:t xml:space="preserve">המחקר </w:t>
      </w:r>
      <w:r w:rsidR="00EF7E1C" w:rsidRPr="005F3228">
        <w:rPr>
          <w:rFonts w:ascii="David" w:hAnsi="David" w:cs="David" w:hint="cs"/>
          <w:sz w:val="24"/>
          <w:szCs w:val="24"/>
          <w:rtl/>
        </w:rPr>
        <w:t xml:space="preserve">שלנו אינו יכול </w:t>
      </w:r>
      <w:r w:rsidR="00F215A5" w:rsidRPr="005F3228">
        <w:rPr>
          <w:rFonts w:ascii="David" w:hAnsi="David" w:cs="David"/>
          <w:sz w:val="24"/>
          <w:szCs w:val="24"/>
          <w:rtl/>
        </w:rPr>
        <w:t xml:space="preserve">לשלול </w:t>
      </w:r>
      <w:r w:rsidR="00EF7E1C" w:rsidRPr="005F3228">
        <w:rPr>
          <w:rFonts w:ascii="David" w:hAnsi="David" w:cs="David" w:hint="cs"/>
          <w:sz w:val="24"/>
          <w:szCs w:val="24"/>
          <w:rtl/>
        </w:rPr>
        <w:t xml:space="preserve">לחלוטין </w:t>
      </w:r>
      <w:r w:rsidRPr="005F3228">
        <w:rPr>
          <w:rFonts w:ascii="David" w:hAnsi="David" w:cs="David" w:hint="cs"/>
          <w:sz w:val="24"/>
          <w:szCs w:val="24"/>
          <w:rtl/>
        </w:rPr>
        <w:t xml:space="preserve">את </w:t>
      </w:r>
      <w:r w:rsidR="00F215A5" w:rsidRPr="005F3228">
        <w:rPr>
          <w:rFonts w:ascii="David" w:hAnsi="David" w:cs="David"/>
          <w:sz w:val="24"/>
          <w:szCs w:val="24"/>
          <w:rtl/>
        </w:rPr>
        <w:t xml:space="preserve">קיומו של אפקט מצנן </w:t>
      </w:r>
      <w:r w:rsidR="00EF7E1C" w:rsidRPr="005F3228">
        <w:rPr>
          <w:rFonts w:ascii="David" w:hAnsi="David" w:cs="David" w:hint="cs"/>
          <w:sz w:val="24"/>
          <w:szCs w:val="24"/>
          <w:rtl/>
        </w:rPr>
        <w:t>כתוצאה</w:t>
      </w:r>
      <w:r w:rsidR="00F215A5" w:rsidRPr="005F3228">
        <w:rPr>
          <w:rFonts w:ascii="David" w:hAnsi="David" w:cs="David"/>
          <w:sz w:val="24"/>
          <w:szCs w:val="24"/>
          <w:rtl/>
        </w:rPr>
        <w:t xml:space="preserve"> </w:t>
      </w:r>
      <w:r w:rsidR="00EF7E1C" w:rsidRPr="005F3228">
        <w:rPr>
          <w:rFonts w:ascii="David" w:hAnsi="David" w:cs="David" w:hint="cs"/>
          <w:sz w:val="24"/>
          <w:szCs w:val="24"/>
          <w:rtl/>
        </w:rPr>
        <w:t>מ</w:t>
      </w:r>
      <w:r w:rsidR="00F215A5" w:rsidRPr="005F3228">
        <w:rPr>
          <w:rFonts w:ascii="David" w:hAnsi="David" w:cs="David"/>
          <w:sz w:val="24"/>
          <w:szCs w:val="24"/>
          <w:rtl/>
        </w:rPr>
        <w:t xml:space="preserve">הלכת </w:t>
      </w:r>
      <w:proofErr w:type="spellStart"/>
      <w:r w:rsidR="00F215A5" w:rsidRPr="005F3228">
        <w:rPr>
          <w:rFonts w:ascii="David" w:hAnsi="David" w:cs="David"/>
          <w:sz w:val="24"/>
          <w:szCs w:val="24"/>
          <w:rtl/>
        </w:rPr>
        <w:t>א.ש.י.ר</w:t>
      </w:r>
      <w:proofErr w:type="spellEnd"/>
      <w:r w:rsidR="00EF7E1C" w:rsidRPr="005F3228">
        <w:rPr>
          <w:rFonts w:ascii="David" w:hAnsi="David" w:cs="David" w:hint="cs"/>
          <w:sz w:val="24"/>
          <w:szCs w:val="24"/>
          <w:rtl/>
        </w:rPr>
        <w:t>: האפשרות ש"שחקנים" פוטנציאלים שביקשו לחקות או לעשות שימוש בתוצרים רוחניים שאינם מוגנים בקניין רוחני נמנעו מלעשות כן</w:t>
      </w:r>
      <w:r w:rsidR="00DB75D4" w:rsidRPr="005F3228">
        <w:rPr>
          <w:rFonts w:ascii="David" w:hAnsi="David" w:cs="David" w:hint="cs"/>
          <w:sz w:val="24"/>
          <w:szCs w:val="24"/>
          <w:rtl/>
        </w:rPr>
        <w:t xml:space="preserve">, או חדלו מפעילותם בעקבות </w:t>
      </w:r>
      <w:r w:rsidR="00EC10A8" w:rsidRPr="005F3228">
        <w:rPr>
          <w:rFonts w:ascii="David" w:hAnsi="David" w:cs="David" w:hint="cs"/>
          <w:sz w:val="24"/>
          <w:szCs w:val="24"/>
          <w:rtl/>
        </w:rPr>
        <w:t>פניה מצד התובע הפוטנציאלי</w:t>
      </w:r>
      <w:r w:rsidR="00DB75D4" w:rsidRPr="005F3228">
        <w:rPr>
          <w:rFonts w:ascii="David" w:hAnsi="David" w:cs="David" w:hint="cs"/>
          <w:sz w:val="24"/>
          <w:szCs w:val="24"/>
          <w:rtl/>
        </w:rPr>
        <w:t>,</w:t>
      </w:r>
      <w:r w:rsidR="00EF7E1C" w:rsidRPr="005F3228">
        <w:rPr>
          <w:rFonts w:ascii="David" w:hAnsi="David" w:cs="David" w:hint="cs"/>
          <w:sz w:val="24"/>
          <w:szCs w:val="24"/>
          <w:rtl/>
        </w:rPr>
        <w:t xml:space="preserve"> לנוכח הסיכוי </w:t>
      </w:r>
      <w:r w:rsidR="00EC10A8" w:rsidRPr="005F3228">
        <w:rPr>
          <w:rFonts w:ascii="David" w:hAnsi="David" w:cs="David" w:hint="cs"/>
          <w:sz w:val="24"/>
          <w:szCs w:val="24"/>
          <w:rtl/>
        </w:rPr>
        <w:t xml:space="preserve">האפשרי </w:t>
      </w:r>
      <w:r w:rsidR="00EF7E1C" w:rsidRPr="005F3228">
        <w:rPr>
          <w:rFonts w:ascii="David" w:hAnsi="David" w:cs="David" w:hint="cs"/>
          <w:sz w:val="24"/>
          <w:szCs w:val="24"/>
          <w:rtl/>
        </w:rPr>
        <w:t>(ולו הקטן) כי יימצאו חייבים בעשיית עושר ולא במשפט</w:t>
      </w:r>
      <w:r w:rsidR="00DB75D4" w:rsidRPr="005F3228">
        <w:rPr>
          <w:rFonts w:ascii="David" w:hAnsi="David" w:cs="David" w:hint="cs"/>
          <w:sz w:val="24"/>
          <w:szCs w:val="24"/>
          <w:rtl/>
        </w:rPr>
        <w:t>,</w:t>
      </w:r>
      <w:r w:rsidR="00EF7E1C" w:rsidRPr="005F3228">
        <w:rPr>
          <w:rFonts w:ascii="David" w:hAnsi="David" w:cs="David" w:hint="cs"/>
          <w:sz w:val="24"/>
          <w:szCs w:val="24"/>
          <w:rtl/>
        </w:rPr>
        <w:t xml:space="preserve"> </w:t>
      </w:r>
      <w:r w:rsidR="004D056E" w:rsidRPr="005F3228">
        <w:rPr>
          <w:rFonts w:ascii="David" w:hAnsi="David" w:cs="David" w:hint="cs"/>
          <w:sz w:val="24"/>
          <w:szCs w:val="24"/>
          <w:rtl/>
        </w:rPr>
        <w:t xml:space="preserve">היא אפשרות </w:t>
      </w:r>
      <w:r w:rsidR="00EF7E1C" w:rsidRPr="005F3228">
        <w:rPr>
          <w:rFonts w:ascii="David" w:hAnsi="David" w:cs="David" w:hint="cs"/>
          <w:sz w:val="24"/>
          <w:szCs w:val="24"/>
          <w:rtl/>
        </w:rPr>
        <w:t>קיימת, ואינה משתקפת במקרים שהגיעו לכלל תביעה</w:t>
      </w:r>
      <w:r w:rsidR="00054432" w:rsidRPr="005F3228">
        <w:rPr>
          <w:rFonts w:ascii="David" w:hAnsi="David" w:cs="David" w:hint="cs"/>
          <w:sz w:val="24"/>
          <w:szCs w:val="24"/>
          <w:rtl/>
        </w:rPr>
        <w:t xml:space="preserve"> ודיון משפטי</w:t>
      </w:r>
      <w:r w:rsidR="00EF7E1C" w:rsidRPr="005F3228">
        <w:rPr>
          <w:rFonts w:ascii="David" w:hAnsi="David" w:cs="David" w:hint="cs"/>
          <w:sz w:val="24"/>
          <w:szCs w:val="24"/>
          <w:rtl/>
        </w:rPr>
        <w:t xml:space="preserve">. </w:t>
      </w:r>
      <w:r w:rsidR="00CC668A" w:rsidRPr="005F3228">
        <w:rPr>
          <w:rFonts w:ascii="David" w:hAnsi="David" w:cs="David" w:hint="cs"/>
          <w:sz w:val="24"/>
          <w:szCs w:val="24"/>
          <w:rtl/>
        </w:rPr>
        <w:t>עם זאת</w:t>
      </w:r>
      <w:r w:rsidR="004D056E" w:rsidRPr="005F3228">
        <w:rPr>
          <w:rFonts w:ascii="David" w:hAnsi="David" w:cs="David" w:hint="cs"/>
          <w:sz w:val="24"/>
          <w:szCs w:val="24"/>
          <w:rtl/>
        </w:rPr>
        <w:t xml:space="preserve">, </w:t>
      </w:r>
      <w:r w:rsidR="00EF7E1C" w:rsidRPr="005F3228">
        <w:rPr>
          <w:rFonts w:ascii="David" w:hAnsi="David" w:cs="David" w:hint="cs"/>
          <w:sz w:val="24"/>
          <w:szCs w:val="24"/>
          <w:rtl/>
        </w:rPr>
        <w:t xml:space="preserve">אפקט מצנן הנובע מחוסר ודאות בדין אינו מוגבל לדיני עשיית עושר, והוא קיים גם </w:t>
      </w:r>
      <w:r w:rsidR="00EF7E1C" w:rsidRPr="005F3228">
        <w:rPr>
          <w:rFonts w:ascii="David" w:hAnsi="David" w:cs="David" w:hint="cs"/>
          <w:i/>
          <w:iCs/>
          <w:sz w:val="24"/>
          <w:szCs w:val="24"/>
          <w:rtl/>
        </w:rPr>
        <w:t xml:space="preserve">בתוך דיני הקניין הרוחני </w:t>
      </w:r>
      <w:r w:rsidR="004D056E" w:rsidRPr="005F3228">
        <w:rPr>
          <w:rFonts w:ascii="David" w:hAnsi="David" w:cs="David" w:hint="cs"/>
          <w:i/>
          <w:iCs/>
          <w:sz w:val="24"/>
          <w:szCs w:val="24"/>
          <w:rtl/>
        </w:rPr>
        <w:t>החקוקים</w:t>
      </w:r>
      <w:r w:rsidR="00EF7E1C" w:rsidRPr="005F3228">
        <w:rPr>
          <w:rFonts w:ascii="David" w:hAnsi="David" w:cs="David" w:hint="cs"/>
          <w:sz w:val="24"/>
          <w:szCs w:val="24"/>
          <w:rtl/>
        </w:rPr>
        <w:t xml:space="preserve">. </w:t>
      </w:r>
      <w:r w:rsidR="00E0604A" w:rsidRPr="005F3228">
        <w:rPr>
          <w:rFonts w:ascii="David" w:hAnsi="David" w:cs="David" w:hint="cs"/>
          <w:sz w:val="24"/>
          <w:szCs w:val="24"/>
          <w:rtl/>
        </w:rPr>
        <w:t xml:space="preserve"> </w:t>
      </w:r>
    </w:p>
    <w:p w14:paraId="1058C57D" w14:textId="77777777" w:rsidR="00C83928" w:rsidRPr="005F3228" w:rsidRDefault="00EF7E1C" w:rsidP="008E5861">
      <w:pPr>
        <w:spacing w:line="300" w:lineRule="exact"/>
        <w:jc w:val="both"/>
        <w:rPr>
          <w:rFonts w:ascii="David" w:hAnsi="David" w:cs="David"/>
          <w:sz w:val="24"/>
          <w:szCs w:val="24"/>
          <w:rtl/>
        </w:rPr>
      </w:pPr>
      <w:r w:rsidRPr="005F3228">
        <w:rPr>
          <w:rFonts w:ascii="David" w:hAnsi="David" w:cs="David" w:hint="cs"/>
          <w:sz w:val="24"/>
          <w:szCs w:val="24"/>
          <w:rtl/>
        </w:rPr>
        <w:t>כך, למשל, חוקרים רבים עמדו על כך שעקרון ה"שימוש ההוגן" בזכויות יוצרים מגלם בתוכו חוסר וודאות שגור</w:t>
      </w:r>
      <w:r w:rsidR="00F51DA8" w:rsidRPr="005F3228">
        <w:rPr>
          <w:rFonts w:ascii="David" w:hAnsi="David" w:cs="David" w:hint="cs"/>
          <w:sz w:val="24"/>
          <w:szCs w:val="24"/>
          <w:rtl/>
        </w:rPr>
        <w:t>ם</w:t>
      </w:r>
      <w:r w:rsidRPr="005F3228">
        <w:rPr>
          <w:rFonts w:ascii="David" w:hAnsi="David" w:cs="David" w:hint="cs"/>
          <w:sz w:val="24"/>
          <w:szCs w:val="24"/>
          <w:rtl/>
        </w:rPr>
        <w:t xml:space="preserve"> לצדדים להימנע לכתחילה משימושים, ש</w:t>
      </w:r>
      <w:r w:rsidR="00CC668A" w:rsidRPr="005F3228">
        <w:rPr>
          <w:rFonts w:ascii="David" w:hAnsi="David" w:cs="David" w:hint="cs"/>
          <w:sz w:val="24"/>
          <w:szCs w:val="24"/>
          <w:rtl/>
        </w:rPr>
        <w:t xml:space="preserve">אילו היו מגיעים לפתחו של בית המשפט </w:t>
      </w:r>
      <w:r w:rsidRPr="005F3228">
        <w:rPr>
          <w:rFonts w:ascii="David" w:hAnsi="David" w:cs="David" w:hint="cs"/>
          <w:sz w:val="24"/>
          <w:szCs w:val="24"/>
          <w:rtl/>
        </w:rPr>
        <w:t xml:space="preserve">קרוב </w:t>
      </w:r>
      <w:proofErr w:type="spellStart"/>
      <w:r w:rsidRPr="005F3228">
        <w:rPr>
          <w:rFonts w:ascii="David" w:hAnsi="David" w:cs="David" w:hint="cs"/>
          <w:sz w:val="24"/>
          <w:szCs w:val="24"/>
          <w:rtl/>
        </w:rPr>
        <w:t>לודאי</w:t>
      </w:r>
      <w:proofErr w:type="spellEnd"/>
      <w:r w:rsidRPr="005F3228">
        <w:rPr>
          <w:rFonts w:ascii="David" w:hAnsi="David" w:cs="David" w:hint="cs"/>
          <w:sz w:val="24"/>
          <w:szCs w:val="24"/>
          <w:rtl/>
        </w:rPr>
        <w:t xml:space="preserve"> </w:t>
      </w:r>
      <w:r w:rsidR="00F51DA8" w:rsidRPr="005F3228">
        <w:rPr>
          <w:rFonts w:ascii="David" w:hAnsi="David" w:cs="David" w:hint="cs"/>
          <w:sz w:val="24"/>
          <w:szCs w:val="24"/>
          <w:rtl/>
        </w:rPr>
        <w:t>ש</w:t>
      </w:r>
      <w:r w:rsidR="00054432" w:rsidRPr="005F3228">
        <w:rPr>
          <w:rFonts w:ascii="David" w:hAnsi="David" w:cs="David" w:hint="cs"/>
          <w:sz w:val="24"/>
          <w:szCs w:val="24"/>
          <w:rtl/>
        </w:rPr>
        <w:t>היו מוכרים כשימוש הוגן ומותר.</w:t>
      </w:r>
      <w:r w:rsidR="00054432" w:rsidRPr="005F3228">
        <w:rPr>
          <w:rStyle w:val="FootnoteReference"/>
          <w:rFonts w:ascii="David" w:hAnsi="David" w:cs="David"/>
          <w:sz w:val="24"/>
          <w:szCs w:val="24"/>
          <w:rtl/>
        </w:rPr>
        <w:footnoteReference w:id="134"/>
      </w:r>
      <w:r w:rsidR="00054432" w:rsidRPr="005F3228">
        <w:rPr>
          <w:rFonts w:ascii="David" w:hAnsi="David" w:cs="David" w:hint="cs"/>
          <w:sz w:val="24"/>
          <w:szCs w:val="24"/>
          <w:rtl/>
        </w:rPr>
        <w:t xml:space="preserve"> בדומה נטען, כי חוסר הוודאות ב</w:t>
      </w:r>
      <w:r w:rsidR="00135822" w:rsidRPr="005F3228">
        <w:rPr>
          <w:rFonts w:ascii="David" w:hAnsi="David" w:cs="David" w:hint="cs"/>
          <w:sz w:val="24"/>
          <w:szCs w:val="24"/>
          <w:rtl/>
        </w:rPr>
        <w:t xml:space="preserve">תוך </w:t>
      </w:r>
      <w:r w:rsidR="00054432" w:rsidRPr="005F3228">
        <w:rPr>
          <w:rFonts w:ascii="David" w:hAnsi="David" w:cs="David" w:hint="cs"/>
          <w:sz w:val="24"/>
          <w:szCs w:val="24"/>
          <w:rtl/>
        </w:rPr>
        <w:t xml:space="preserve">דיני </w:t>
      </w:r>
      <w:r w:rsidR="00054432" w:rsidRPr="005F3228">
        <w:rPr>
          <w:rFonts w:ascii="David" w:hAnsi="David" w:cs="David" w:hint="cs"/>
          <w:sz w:val="24"/>
          <w:szCs w:val="24"/>
          <w:rtl/>
        </w:rPr>
        <w:lastRenderedPageBreak/>
        <w:t xml:space="preserve">הפטנטים </w:t>
      </w:r>
      <w:r w:rsidR="00DA4BD9" w:rsidRPr="005F3228">
        <w:rPr>
          <w:rFonts w:ascii="David" w:hAnsi="David" w:cs="David" w:hint="cs"/>
          <w:sz w:val="24"/>
          <w:szCs w:val="24"/>
          <w:rtl/>
        </w:rPr>
        <w:t>עלול לה</w:t>
      </w:r>
      <w:r w:rsidR="00054432" w:rsidRPr="005F3228">
        <w:rPr>
          <w:rFonts w:ascii="David" w:hAnsi="David" w:cs="David" w:hint="cs"/>
          <w:sz w:val="24"/>
          <w:szCs w:val="24"/>
          <w:rtl/>
        </w:rPr>
        <w:t>וביל להרחבה בלתי מוצדקת של זכויות בעל הפטנט.</w:t>
      </w:r>
      <w:r w:rsidR="00054432" w:rsidRPr="005F3228">
        <w:rPr>
          <w:rStyle w:val="FootnoteReference"/>
          <w:rFonts w:ascii="David" w:hAnsi="David" w:cs="David"/>
          <w:sz w:val="24"/>
          <w:szCs w:val="24"/>
          <w:rtl/>
        </w:rPr>
        <w:footnoteReference w:id="135"/>
      </w:r>
      <w:r w:rsidR="00054432" w:rsidRPr="005F3228">
        <w:rPr>
          <w:rFonts w:ascii="David" w:hAnsi="David" w:cs="David" w:hint="cs"/>
          <w:sz w:val="24"/>
          <w:szCs w:val="24"/>
          <w:rtl/>
        </w:rPr>
        <w:t xml:space="preserve"> </w:t>
      </w:r>
      <w:r w:rsidR="00CC668A" w:rsidRPr="005F3228">
        <w:rPr>
          <w:rFonts w:ascii="David" w:hAnsi="David" w:cs="David" w:hint="cs"/>
          <w:sz w:val="24"/>
          <w:szCs w:val="24"/>
          <w:rtl/>
        </w:rPr>
        <w:t>כך, גם הזכות בעיצוב לא רשום שנקבעה בחוק העיצובים החדש</w:t>
      </w:r>
      <w:r w:rsidR="006B6842" w:rsidRPr="005F3228">
        <w:rPr>
          <w:rFonts w:ascii="David" w:hAnsi="David" w:cs="David"/>
          <w:sz w:val="24"/>
          <w:szCs w:val="24"/>
          <w:rtl/>
        </w:rPr>
        <w:t>—</w:t>
      </w:r>
      <w:r w:rsidR="006B6842" w:rsidRPr="005F3228">
        <w:rPr>
          <w:rFonts w:ascii="David" w:hAnsi="David" w:cs="David" w:hint="cs"/>
          <w:sz w:val="24"/>
          <w:szCs w:val="24"/>
          <w:rtl/>
        </w:rPr>
        <w:t>אותה זכות שתחליף הלכה למעשה את עילת התביעה מכוח עשיית עושר בקטגורית המקרים הרלוונטית</w:t>
      </w:r>
      <w:r w:rsidR="006B6842" w:rsidRPr="005F3228">
        <w:rPr>
          <w:rFonts w:ascii="David" w:hAnsi="David" w:cs="David"/>
          <w:sz w:val="24"/>
          <w:szCs w:val="24"/>
          <w:rtl/>
        </w:rPr>
        <w:t>—</w:t>
      </w:r>
      <w:r w:rsidR="00CC668A" w:rsidRPr="005F3228">
        <w:rPr>
          <w:rFonts w:ascii="David" w:hAnsi="David" w:cs="David" w:hint="cs"/>
          <w:sz w:val="24"/>
          <w:szCs w:val="24"/>
          <w:rtl/>
        </w:rPr>
        <w:t>אינה מקנה למשתמשים פוטנציאלים ודאות מוחלטת: למשל, הזכות קיימת למשך שלוש שנים ממ</w:t>
      </w:r>
      <w:r w:rsidR="00F51DA8" w:rsidRPr="005F3228">
        <w:rPr>
          <w:rFonts w:ascii="David" w:hAnsi="David" w:cs="David" w:hint="cs"/>
          <w:sz w:val="24"/>
          <w:szCs w:val="24"/>
          <w:rtl/>
        </w:rPr>
        <w:t>ו</w:t>
      </w:r>
      <w:r w:rsidR="00CC668A" w:rsidRPr="005F3228">
        <w:rPr>
          <w:rFonts w:ascii="David" w:hAnsi="David" w:cs="David" w:hint="cs"/>
          <w:sz w:val="24"/>
          <w:szCs w:val="24"/>
          <w:rtl/>
        </w:rPr>
        <w:t xml:space="preserve">עד </w:t>
      </w:r>
      <w:r w:rsidR="006B6842" w:rsidRPr="005F3228">
        <w:rPr>
          <w:rFonts w:ascii="David" w:hAnsi="David" w:cs="David" w:hint="cs"/>
          <w:sz w:val="24"/>
          <w:szCs w:val="24"/>
          <w:rtl/>
        </w:rPr>
        <w:t xml:space="preserve">הפרסום הראשון של </w:t>
      </w:r>
      <w:r w:rsidR="00CC668A" w:rsidRPr="005F3228">
        <w:rPr>
          <w:rFonts w:ascii="David" w:hAnsi="David" w:cs="David" w:hint="cs"/>
          <w:sz w:val="24"/>
          <w:szCs w:val="24"/>
          <w:rtl/>
        </w:rPr>
        <w:t>העיצוב,</w:t>
      </w:r>
      <w:r w:rsidR="00CB6ED3" w:rsidRPr="005F3228">
        <w:rPr>
          <w:rStyle w:val="FootnoteReference"/>
          <w:rFonts w:ascii="David" w:hAnsi="David" w:cs="David"/>
          <w:sz w:val="24"/>
          <w:szCs w:val="24"/>
          <w:rtl/>
        </w:rPr>
        <w:footnoteReference w:id="136"/>
      </w:r>
      <w:r w:rsidR="00CC668A" w:rsidRPr="005F3228">
        <w:rPr>
          <w:rFonts w:ascii="David" w:hAnsi="David" w:cs="David" w:hint="cs"/>
          <w:sz w:val="24"/>
          <w:szCs w:val="24"/>
          <w:rtl/>
        </w:rPr>
        <w:t xml:space="preserve"> אולם מועד זה אינו ברור על פניו ביחס למרבית העיצובים. במילים אחרות, חוסר ודאות מסוים ביחס לתחולת הדין, היקפו או פרשנותו, </w:t>
      </w:r>
      <w:r w:rsidR="00707127" w:rsidRPr="005F3228">
        <w:rPr>
          <w:rFonts w:ascii="David" w:hAnsi="David" w:cs="David" w:hint="cs"/>
          <w:sz w:val="24"/>
          <w:szCs w:val="24"/>
          <w:rtl/>
        </w:rPr>
        <w:t xml:space="preserve">העלול לגרור אפקט מצנן, </w:t>
      </w:r>
      <w:r w:rsidR="00CC668A" w:rsidRPr="005F3228">
        <w:rPr>
          <w:rFonts w:ascii="David" w:hAnsi="David" w:cs="David" w:hint="cs"/>
          <w:sz w:val="24"/>
          <w:szCs w:val="24"/>
          <w:rtl/>
        </w:rPr>
        <w:t xml:space="preserve">קיים גם </w:t>
      </w:r>
      <w:r w:rsidR="00CB6ED3" w:rsidRPr="005F3228">
        <w:rPr>
          <w:rFonts w:ascii="David" w:hAnsi="David" w:cs="David" w:hint="cs"/>
          <w:sz w:val="24"/>
          <w:szCs w:val="24"/>
          <w:rtl/>
        </w:rPr>
        <w:t>כאשר</w:t>
      </w:r>
      <w:r w:rsidR="00CC668A" w:rsidRPr="005F3228">
        <w:rPr>
          <w:rFonts w:ascii="David" w:hAnsi="David" w:cs="David" w:hint="cs"/>
          <w:sz w:val="24"/>
          <w:szCs w:val="24"/>
          <w:rtl/>
        </w:rPr>
        <w:t xml:space="preserve"> בוחר המחוקק לעגן את זכויות הקניין הרוחני בחוק</w:t>
      </w:r>
      <w:r w:rsidR="00F46569" w:rsidRPr="005F3228">
        <w:rPr>
          <w:rFonts w:ascii="David" w:hAnsi="David" w:cs="David" w:hint="cs"/>
          <w:sz w:val="24"/>
          <w:szCs w:val="24"/>
          <w:rtl/>
        </w:rPr>
        <w:t xml:space="preserve"> ספציפי</w:t>
      </w:r>
      <w:r w:rsidR="00707127" w:rsidRPr="005F3228">
        <w:rPr>
          <w:rFonts w:ascii="David" w:hAnsi="David" w:cs="David" w:hint="cs"/>
          <w:sz w:val="24"/>
          <w:szCs w:val="24"/>
          <w:rtl/>
        </w:rPr>
        <w:t>.</w:t>
      </w:r>
      <w:r w:rsidR="00090A2C" w:rsidRPr="005F3228">
        <w:rPr>
          <w:rStyle w:val="FootnoteReference"/>
          <w:rFonts w:ascii="David" w:hAnsi="David" w:cs="David"/>
          <w:sz w:val="24"/>
          <w:szCs w:val="24"/>
          <w:rtl/>
        </w:rPr>
        <w:footnoteReference w:id="137"/>
      </w:r>
      <w:r w:rsidR="008B7914" w:rsidRPr="005F3228">
        <w:rPr>
          <w:rFonts w:ascii="David" w:hAnsi="David" w:cs="David" w:hint="cs"/>
          <w:sz w:val="24"/>
          <w:szCs w:val="24"/>
          <w:rtl/>
        </w:rPr>
        <w:t xml:space="preserve"> </w:t>
      </w:r>
      <w:r w:rsidR="00E76738" w:rsidRPr="005F3228">
        <w:rPr>
          <w:rFonts w:ascii="David" w:hAnsi="David" w:cs="David" w:hint="cs"/>
          <w:sz w:val="24"/>
          <w:szCs w:val="24"/>
          <w:rtl/>
        </w:rPr>
        <w:t xml:space="preserve">על רקע זה </w:t>
      </w:r>
      <w:r w:rsidR="0082291C" w:rsidRPr="005F3228">
        <w:rPr>
          <w:rFonts w:ascii="David" w:hAnsi="David" w:cs="David" w:hint="cs"/>
          <w:sz w:val="24"/>
          <w:szCs w:val="24"/>
          <w:rtl/>
        </w:rPr>
        <w:t xml:space="preserve">מתבהר גם </w:t>
      </w:r>
      <w:r w:rsidR="00E76738" w:rsidRPr="005F3228">
        <w:rPr>
          <w:rFonts w:ascii="David" w:hAnsi="David" w:cs="David" w:hint="cs"/>
          <w:sz w:val="24"/>
          <w:szCs w:val="24"/>
          <w:rtl/>
        </w:rPr>
        <w:t xml:space="preserve">הקושי </w:t>
      </w:r>
      <w:r w:rsidR="0082291C" w:rsidRPr="005F3228">
        <w:rPr>
          <w:rFonts w:ascii="David" w:hAnsi="David" w:cs="David" w:hint="cs"/>
          <w:sz w:val="24"/>
          <w:szCs w:val="24"/>
          <w:rtl/>
        </w:rPr>
        <w:t xml:space="preserve">שבהצעת </w:t>
      </w:r>
      <w:r w:rsidR="0082291C" w:rsidRPr="005F3228">
        <w:rPr>
          <w:rFonts w:ascii="David" w:hAnsi="David" w:cs="David"/>
          <w:sz w:val="24"/>
          <w:szCs w:val="24"/>
          <w:rtl/>
        </w:rPr>
        <w:t xml:space="preserve">היועץ המשפטי בעניין </w:t>
      </w:r>
      <w:r w:rsidR="0082291C" w:rsidRPr="005F3228">
        <w:rPr>
          <w:rFonts w:ascii="David" w:hAnsi="David" w:cs="David"/>
          <w:sz w:val="24"/>
          <w:szCs w:val="24"/>
        </w:rPr>
        <w:t>Fisher Price</w:t>
      </w:r>
      <w:r w:rsidR="0082291C" w:rsidRPr="005F3228">
        <w:rPr>
          <w:rFonts w:ascii="David" w:hAnsi="David" w:cs="David"/>
          <w:sz w:val="24"/>
          <w:szCs w:val="24"/>
          <w:rtl/>
        </w:rPr>
        <w:t>,</w:t>
      </w:r>
      <w:r w:rsidR="00001316" w:rsidRPr="005F3228">
        <w:rPr>
          <w:rFonts w:ascii="David" w:hAnsi="David" w:cs="David" w:hint="cs"/>
          <w:sz w:val="24"/>
          <w:szCs w:val="24"/>
          <w:rtl/>
        </w:rPr>
        <w:t xml:space="preserve"> </w:t>
      </w:r>
      <w:r w:rsidR="0082291C" w:rsidRPr="005F3228">
        <w:rPr>
          <w:rFonts w:ascii="David" w:hAnsi="David" w:cs="David"/>
          <w:sz w:val="24"/>
          <w:szCs w:val="24"/>
          <w:rtl/>
        </w:rPr>
        <w:t>להשתמש בפרשנות תכליתית של החוקים הקיימים חלף הפנייה לדיני עשיית עושר.</w:t>
      </w:r>
      <w:r w:rsidR="0082291C" w:rsidRPr="005F3228">
        <w:rPr>
          <w:rStyle w:val="FootnoteReference"/>
          <w:rFonts w:ascii="David" w:hAnsi="David" w:cs="David"/>
          <w:sz w:val="24"/>
          <w:szCs w:val="24"/>
          <w:rtl/>
        </w:rPr>
        <w:footnoteReference w:id="138"/>
      </w:r>
      <w:r w:rsidR="0082291C" w:rsidRPr="005F3228">
        <w:rPr>
          <w:rFonts w:ascii="David" w:hAnsi="David" w:cs="David" w:hint="cs"/>
          <w:sz w:val="24"/>
          <w:szCs w:val="24"/>
          <w:rtl/>
        </w:rPr>
        <w:t xml:space="preserve"> </w:t>
      </w:r>
      <w:r w:rsidR="005D2753" w:rsidRPr="005F3228">
        <w:rPr>
          <w:rFonts w:ascii="David" w:hAnsi="David" w:cs="David" w:hint="cs"/>
          <w:sz w:val="24"/>
          <w:szCs w:val="24"/>
          <w:rtl/>
        </w:rPr>
        <w:t xml:space="preserve">פרשנות של </w:t>
      </w:r>
      <w:r w:rsidR="00E429E8" w:rsidRPr="005F3228">
        <w:rPr>
          <w:rFonts w:ascii="David" w:hAnsi="David" w:cs="David" w:hint="cs"/>
          <w:sz w:val="24"/>
          <w:szCs w:val="24"/>
          <w:rtl/>
        </w:rPr>
        <w:t>דיני</w:t>
      </w:r>
      <w:r w:rsidR="002639F5" w:rsidRPr="005F3228">
        <w:rPr>
          <w:rFonts w:ascii="David" w:hAnsi="David" w:cs="David" w:hint="cs"/>
          <w:sz w:val="24"/>
          <w:szCs w:val="24"/>
          <w:rtl/>
        </w:rPr>
        <w:t xml:space="preserve"> הקניין הרוחני </w:t>
      </w:r>
      <w:r w:rsidR="005D2753" w:rsidRPr="005F3228">
        <w:rPr>
          <w:rFonts w:ascii="David" w:hAnsi="David" w:cs="David" w:hint="cs"/>
          <w:sz w:val="24"/>
          <w:szCs w:val="24"/>
          <w:rtl/>
        </w:rPr>
        <w:t>לא רק ש</w:t>
      </w:r>
      <w:r w:rsidR="0082291C" w:rsidRPr="005F3228">
        <w:rPr>
          <w:rFonts w:ascii="David" w:hAnsi="David" w:cs="David" w:hint="cs"/>
          <w:sz w:val="24"/>
          <w:szCs w:val="24"/>
          <w:rtl/>
        </w:rPr>
        <w:t>אינה</w:t>
      </w:r>
      <w:r w:rsidR="00E429E8" w:rsidRPr="005F3228">
        <w:rPr>
          <w:rFonts w:ascii="David" w:hAnsi="David" w:cs="David" w:hint="cs"/>
          <w:sz w:val="24"/>
          <w:szCs w:val="24"/>
          <w:rtl/>
        </w:rPr>
        <w:t xml:space="preserve"> מסירה את החשש מחוסר ודאות המיוחס לשימוש בדיני עשיית עושר</w:t>
      </w:r>
      <w:r w:rsidR="005D2753" w:rsidRPr="005F3228">
        <w:rPr>
          <w:rFonts w:ascii="David" w:hAnsi="David" w:cs="David" w:hint="cs"/>
          <w:sz w:val="24"/>
          <w:szCs w:val="24"/>
          <w:rtl/>
        </w:rPr>
        <w:t>, אלא ש</w:t>
      </w:r>
      <w:r w:rsidR="00E429E8" w:rsidRPr="005F3228">
        <w:rPr>
          <w:rFonts w:ascii="David" w:hAnsi="David" w:cs="David" w:hint="cs"/>
          <w:sz w:val="24"/>
          <w:szCs w:val="24"/>
          <w:rtl/>
        </w:rPr>
        <w:t xml:space="preserve">כאשר מדובר בסוגיות שדיני הקניין הרוחני כלל אינם מסדירים, </w:t>
      </w:r>
      <w:r w:rsidR="005D2753" w:rsidRPr="005F3228">
        <w:rPr>
          <w:rFonts w:ascii="David" w:hAnsi="David" w:cs="David" w:hint="cs"/>
          <w:sz w:val="24"/>
          <w:szCs w:val="24"/>
          <w:rtl/>
        </w:rPr>
        <w:t>פרשנות כזאת עלולה להיות מאולצת, לפגוע בקוהרנטיות הדין, ודווקא להכביר חוסר וודאות.</w:t>
      </w:r>
    </w:p>
    <w:p w14:paraId="324BA9DC" w14:textId="07603187" w:rsidR="00CB3E37" w:rsidRPr="005F3228" w:rsidRDefault="00F46569" w:rsidP="008E5861">
      <w:pPr>
        <w:spacing w:line="300" w:lineRule="exact"/>
        <w:jc w:val="both"/>
        <w:rPr>
          <w:rFonts w:ascii="David" w:hAnsi="David" w:cs="David"/>
          <w:sz w:val="24"/>
          <w:szCs w:val="24"/>
          <w:rtl/>
        </w:rPr>
      </w:pPr>
      <w:r w:rsidRPr="005F3228">
        <w:rPr>
          <w:rFonts w:ascii="David" w:hAnsi="David" w:cs="David" w:hint="cs"/>
          <w:sz w:val="24"/>
          <w:szCs w:val="24"/>
          <w:rtl/>
        </w:rPr>
        <w:t>ועוד:</w:t>
      </w:r>
      <w:r w:rsidR="00707127" w:rsidRPr="005F3228">
        <w:rPr>
          <w:rFonts w:ascii="David" w:hAnsi="David" w:cs="David" w:hint="cs"/>
          <w:sz w:val="24"/>
          <w:szCs w:val="24"/>
          <w:rtl/>
        </w:rPr>
        <w:t xml:space="preserve"> ככל שנוצר אפקט מצנן בעקבות הלכת </w:t>
      </w:r>
      <w:proofErr w:type="spellStart"/>
      <w:r w:rsidR="00707127" w:rsidRPr="005F3228">
        <w:rPr>
          <w:rFonts w:ascii="David" w:hAnsi="David" w:cs="David" w:hint="cs"/>
          <w:sz w:val="24"/>
          <w:szCs w:val="24"/>
          <w:rtl/>
        </w:rPr>
        <w:t>א.ש.י.ר</w:t>
      </w:r>
      <w:proofErr w:type="spellEnd"/>
      <w:r w:rsidR="00707127" w:rsidRPr="005F3228">
        <w:rPr>
          <w:rFonts w:ascii="David" w:hAnsi="David" w:cs="David" w:hint="cs"/>
          <w:sz w:val="24"/>
          <w:szCs w:val="24"/>
          <w:rtl/>
        </w:rPr>
        <w:t>.</w:t>
      </w:r>
      <w:r w:rsidR="0057542F" w:rsidRPr="005F3228">
        <w:rPr>
          <w:rFonts w:ascii="David" w:hAnsi="David" w:cs="David" w:hint="cs"/>
          <w:sz w:val="24"/>
          <w:szCs w:val="24"/>
          <w:rtl/>
        </w:rPr>
        <w:t>,</w:t>
      </w:r>
      <w:r w:rsidR="00707127" w:rsidRPr="005F3228">
        <w:rPr>
          <w:rFonts w:ascii="David" w:hAnsi="David" w:cs="David" w:hint="cs"/>
          <w:sz w:val="24"/>
          <w:szCs w:val="24"/>
          <w:rtl/>
        </w:rPr>
        <w:t xml:space="preserve"> המחקר הנוכחי, השופך אור על יישום ההלכה במשך עשרים שנים, עשוי, כך אנו מקווים, לסייע בהקטנתו</w:t>
      </w:r>
      <w:r w:rsidR="00F51DA8" w:rsidRPr="005F3228">
        <w:rPr>
          <w:rFonts w:ascii="David" w:hAnsi="David" w:cs="David" w:hint="cs"/>
          <w:sz w:val="24"/>
          <w:szCs w:val="24"/>
          <w:rtl/>
        </w:rPr>
        <w:t>:</w:t>
      </w:r>
      <w:r w:rsidR="00707127" w:rsidRPr="005F3228">
        <w:rPr>
          <w:rFonts w:ascii="David" w:hAnsi="David" w:cs="David" w:hint="cs"/>
          <w:sz w:val="24"/>
          <w:szCs w:val="24"/>
          <w:rtl/>
        </w:rPr>
        <w:t xml:space="preserve"> ראשית, לאור הממצא ש</w:t>
      </w:r>
      <w:r w:rsidR="00F215A5" w:rsidRPr="005F3228">
        <w:rPr>
          <w:rFonts w:ascii="David" w:hAnsi="David" w:cs="David"/>
          <w:sz w:val="24"/>
          <w:szCs w:val="24"/>
          <w:rtl/>
        </w:rPr>
        <w:t xml:space="preserve">כמות המקרים </w:t>
      </w:r>
      <w:r w:rsidR="00B90A8F" w:rsidRPr="005F3228">
        <w:rPr>
          <w:rFonts w:ascii="David" w:hAnsi="David" w:cs="David" w:hint="cs"/>
          <w:sz w:val="24"/>
          <w:szCs w:val="24"/>
          <w:rtl/>
        </w:rPr>
        <w:t>ש</w:t>
      </w:r>
      <w:r w:rsidR="00707127" w:rsidRPr="005F3228">
        <w:rPr>
          <w:rFonts w:ascii="David" w:hAnsi="David" w:cs="David" w:hint="cs"/>
          <w:sz w:val="24"/>
          <w:szCs w:val="24"/>
          <w:rtl/>
        </w:rPr>
        <w:t>בהם</w:t>
      </w:r>
      <w:r w:rsidR="00F215A5" w:rsidRPr="005F3228">
        <w:rPr>
          <w:rFonts w:ascii="David" w:hAnsi="David" w:cs="David"/>
          <w:sz w:val="24"/>
          <w:szCs w:val="24"/>
          <w:rtl/>
        </w:rPr>
        <w:t xml:space="preserve"> </w:t>
      </w:r>
      <w:r w:rsidR="00F51DA8" w:rsidRPr="005F3228">
        <w:rPr>
          <w:rFonts w:ascii="David" w:hAnsi="David" w:cs="David" w:hint="cs"/>
          <w:sz w:val="24"/>
          <w:szCs w:val="24"/>
          <w:rtl/>
        </w:rPr>
        <w:t>ניתן</w:t>
      </w:r>
      <w:r w:rsidR="00F215A5" w:rsidRPr="005F3228">
        <w:rPr>
          <w:rFonts w:ascii="David" w:hAnsi="David" w:cs="David"/>
          <w:sz w:val="24"/>
          <w:szCs w:val="24"/>
          <w:rtl/>
        </w:rPr>
        <w:t xml:space="preserve"> סעד בעשיית עושר בהיעדר עילה מתחום הקניין הרוחני</w:t>
      </w:r>
      <w:r w:rsidR="00707127" w:rsidRPr="005F3228">
        <w:rPr>
          <w:rFonts w:ascii="David" w:hAnsi="David" w:cs="David" w:hint="cs"/>
          <w:sz w:val="24"/>
          <w:szCs w:val="24"/>
          <w:rtl/>
        </w:rPr>
        <w:t xml:space="preserve"> היא קטנה מאוד</w:t>
      </w:r>
      <w:r w:rsidR="00EF7E1C" w:rsidRPr="005F3228">
        <w:rPr>
          <w:rFonts w:ascii="David" w:hAnsi="David" w:cs="David" w:hint="cs"/>
          <w:sz w:val="24"/>
          <w:szCs w:val="24"/>
          <w:rtl/>
        </w:rPr>
        <w:t>,</w:t>
      </w:r>
      <w:r w:rsidR="00F215A5" w:rsidRPr="005F3228">
        <w:rPr>
          <w:rFonts w:ascii="David" w:hAnsi="David" w:cs="David"/>
          <w:sz w:val="24"/>
          <w:szCs w:val="24"/>
          <w:rtl/>
        </w:rPr>
        <w:t xml:space="preserve"> ו</w:t>
      </w:r>
      <w:r w:rsidR="00707127" w:rsidRPr="005F3228">
        <w:rPr>
          <w:rFonts w:ascii="David" w:hAnsi="David" w:cs="David" w:hint="cs"/>
          <w:sz w:val="24"/>
          <w:szCs w:val="24"/>
          <w:rtl/>
        </w:rPr>
        <w:t xml:space="preserve">שנית לאור </w:t>
      </w:r>
      <w:r w:rsidR="0057542F" w:rsidRPr="005F3228">
        <w:rPr>
          <w:rFonts w:ascii="David" w:hAnsi="David" w:cs="David" w:hint="cs"/>
          <w:sz w:val="24"/>
          <w:szCs w:val="24"/>
          <w:rtl/>
        </w:rPr>
        <w:t xml:space="preserve">הממצא </w:t>
      </w:r>
      <w:r w:rsidR="00707127" w:rsidRPr="005F3228">
        <w:rPr>
          <w:rFonts w:ascii="David" w:hAnsi="David" w:cs="David" w:hint="cs"/>
          <w:sz w:val="24"/>
          <w:szCs w:val="24"/>
          <w:rtl/>
        </w:rPr>
        <w:t>ש</w:t>
      </w:r>
      <w:r w:rsidR="00066B35" w:rsidRPr="005F3228">
        <w:rPr>
          <w:rFonts w:ascii="David" w:hAnsi="David" w:cs="David" w:hint="cs"/>
          <w:sz w:val="24"/>
          <w:szCs w:val="24"/>
          <w:rtl/>
        </w:rPr>
        <w:t>הרוב ה</w:t>
      </w:r>
      <w:r w:rsidR="00F51DA8" w:rsidRPr="005F3228">
        <w:rPr>
          <w:rFonts w:ascii="David" w:hAnsi="David" w:cs="David" w:hint="cs"/>
          <w:sz w:val="24"/>
          <w:szCs w:val="24"/>
          <w:rtl/>
        </w:rPr>
        <w:t xml:space="preserve">גדול </w:t>
      </w:r>
      <w:r w:rsidR="00066B35" w:rsidRPr="005F3228">
        <w:rPr>
          <w:rFonts w:ascii="David" w:hAnsi="David" w:cs="David" w:hint="cs"/>
          <w:sz w:val="24"/>
          <w:szCs w:val="24"/>
          <w:rtl/>
        </w:rPr>
        <w:t xml:space="preserve">של </w:t>
      </w:r>
      <w:r w:rsidR="00707127" w:rsidRPr="005F3228">
        <w:rPr>
          <w:rFonts w:ascii="David" w:hAnsi="David" w:cs="David" w:hint="cs"/>
          <w:sz w:val="24"/>
          <w:szCs w:val="24"/>
          <w:rtl/>
        </w:rPr>
        <w:t>מקרים אלה נ</w:t>
      </w:r>
      <w:r w:rsidR="00F51DA8" w:rsidRPr="005F3228">
        <w:rPr>
          <w:rFonts w:ascii="David" w:hAnsi="David" w:cs="David" w:hint="cs"/>
          <w:sz w:val="24"/>
          <w:szCs w:val="24"/>
          <w:rtl/>
        </w:rPr>
        <w:t xml:space="preserve">מנים עם </w:t>
      </w:r>
      <w:r w:rsidR="00F215A5" w:rsidRPr="005F3228">
        <w:rPr>
          <w:rFonts w:ascii="David" w:hAnsi="David" w:cs="David"/>
          <w:sz w:val="24"/>
          <w:szCs w:val="24"/>
          <w:rtl/>
        </w:rPr>
        <w:t xml:space="preserve">קטגוריות </w:t>
      </w:r>
      <w:r w:rsidR="00707127" w:rsidRPr="005F3228">
        <w:rPr>
          <w:rFonts w:ascii="David" w:hAnsi="David" w:cs="David" w:hint="cs"/>
          <w:sz w:val="24"/>
          <w:szCs w:val="24"/>
          <w:rtl/>
        </w:rPr>
        <w:t>ברורות יחסית</w:t>
      </w:r>
      <w:r w:rsidR="008E5861" w:rsidRPr="005F3228">
        <w:rPr>
          <w:rFonts w:ascii="David" w:hAnsi="David" w:cs="David" w:hint="cs"/>
          <w:sz w:val="24"/>
          <w:szCs w:val="24"/>
          <w:rtl/>
        </w:rPr>
        <w:t xml:space="preserve">. חשיפת ממצאים אלה עשויה, היא </w:t>
      </w:r>
      <w:proofErr w:type="spellStart"/>
      <w:r w:rsidR="008E5861" w:rsidRPr="005F3228">
        <w:rPr>
          <w:rFonts w:ascii="David" w:hAnsi="David" w:cs="David" w:hint="cs"/>
          <w:sz w:val="24"/>
          <w:szCs w:val="24"/>
          <w:rtl/>
        </w:rPr>
        <w:t>כלשעצמה</w:t>
      </w:r>
      <w:proofErr w:type="spellEnd"/>
      <w:r w:rsidR="008E5861" w:rsidRPr="005F3228">
        <w:rPr>
          <w:rFonts w:ascii="David" w:hAnsi="David" w:cs="David" w:hint="cs"/>
          <w:sz w:val="24"/>
          <w:szCs w:val="24"/>
          <w:rtl/>
        </w:rPr>
        <w:t xml:space="preserve">, </w:t>
      </w:r>
      <w:r w:rsidR="0057542F" w:rsidRPr="005F3228">
        <w:rPr>
          <w:rFonts w:ascii="David" w:hAnsi="David" w:cs="David" w:hint="cs"/>
          <w:sz w:val="24"/>
          <w:szCs w:val="24"/>
          <w:rtl/>
        </w:rPr>
        <w:t>לסייע בקידום הוודאות בתחום</w:t>
      </w:r>
      <w:r w:rsidR="00707127" w:rsidRPr="005F3228">
        <w:rPr>
          <w:rFonts w:ascii="David" w:hAnsi="David" w:cs="David" w:hint="cs"/>
          <w:sz w:val="24"/>
          <w:szCs w:val="24"/>
          <w:rtl/>
        </w:rPr>
        <w:t xml:space="preserve">. </w:t>
      </w:r>
      <w:bookmarkStart w:id="57" w:name="_Toc28070289"/>
      <w:bookmarkStart w:id="58" w:name="_Toc28175982"/>
    </w:p>
    <w:p w14:paraId="1BC01C64" w14:textId="77777777" w:rsidR="00AF3464" w:rsidRPr="005F3228" w:rsidRDefault="00F46569" w:rsidP="000C0E72">
      <w:pPr>
        <w:spacing w:line="300" w:lineRule="exact"/>
        <w:jc w:val="both"/>
        <w:rPr>
          <w:rFonts w:ascii="David" w:hAnsi="David" w:cs="David"/>
          <w:sz w:val="24"/>
          <w:szCs w:val="24"/>
          <w:rtl/>
        </w:rPr>
      </w:pPr>
      <w:r w:rsidRPr="005F3228">
        <w:rPr>
          <w:rFonts w:ascii="David" w:hAnsi="David" w:cs="David" w:hint="cs"/>
          <w:sz w:val="24"/>
          <w:szCs w:val="24"/>
          <w:rtl/>
        </w:rPr>
        <w:t xml:space="preserve">אל מול החשש לאפקט מצנן, המחקר </w:t>
      </w:r>
      <w:r w:rsidR="00AC718B" w:rsidRPr="005F3228">
        <w:rPr>
          <w:rFonts w:ascii="David" w:hAnsi="David" w:cs="David" w:hint="cs"/>
          <w:sz w:val="24"/>
          <w:szCs w:val="24"/>
          <w:rtl/>
        </w:rPr>
        <w:t>הנוכחי</w:t>
      </w:r>
      <w:r w:rsidRPr="005F3228">
        <w:rPr>
          <w:rFonts w:ascii="David" w:hAnsi="David" w:cs="David" w:hint="cs"/>
          <w:sz w:val="24"/>
          <w:szCs w:val="24"/>
          <w:rtl/>
        </w:rPr>
        <w:t xml:space="preserve"> שופך אור גם על התועלת שבהלכת </w:t>
      </w:r>
      <w:proofErr w:type="spellStart"/>
      <w:r w:rsidRPr="005F3228">
        <w:rPr>
          <w:rFonts w:ascii="David" w:hAnsi="David" w:cs="David" w:hint="cs"/>
          <w:sz w:val="24"/>
          <w:szCs w:val="24"/>
          <w:rtl/>
        </w:rPr>
        <w:t>א.ש.י.ר</w:t>
      </w:r>
      <w:proofErr w:type="spellEnd"/>
      <w:r w:rsidR="00950685" w:rsidRPr="005F3228">
        <w:rPr>
          <w:rFonts w:ascii="David" w:hAnsi="David" w:cs="David" w:hint="cs"/>
          <w:sz w:val="24"/>
          <w:szCs w:val="24"/>
          <w:rtl/>
        </w:rPr>
        <w:t xml:space="preserve">.: למרות </w:t>
      </w:r>
      <w:r w:rsidR="00EF7E1C" w:rsidRPr="005F3228">
        <w:rPr>
          <w:rFonts w:ascii="David" w:hAnsi="David" w:cs="David"/>
          <w:sz w:val="24"/>
          <w:szCs w:val="24"/>
          <w:rtl/>
        </w:rPr>
        <w:t xml:space="preserve">שתפקידם של דיני עשיית עושר בתחום הקניין הרוחני אינו מרכזי, </w:t>
      </w:r>
      <w:r w:rsidR="00CB3E37" w:rsidRPr="005F3228">
        <w:rPr>
          <w:rFonts w:ascii="David" w:hAnsi="David" w:cs="David" w:hint="cs"/>
          <w:sz w:val="24"/>
          <w:szCs w:val="24"/>
          <w:rtl/>
        </w:rPr>
        <w:t xml:space="preserve">עולה מן המחקר </w:t>
      </w:r>
      <w:r w:rsidRPr="005F3228">
        <w:rPr>
          <w:rFonts w:ascii="David" w:hAnsi="David" w:cs="David" w:hint="cs"/>
          <w:sz w:val="24"/>
          <w:szCs w:val="24"/>
          <w:rtl/>
        </w:rPr>
        <w:t>שהם משמשים כ</w:t>
      </w:r>
      <w:r w:rsidR="00EF7E1C" w:rsidRPr="005F3228">
        <w:rPr>
          <w:rFonts w:ascii="David" w:hAnsi="David" w:cs="David"/>
          <w:sz w:val="24"/>
          <w:szCs w:val="24"/>
          <w:rtl/>
        </w:rPr>
        <w:t xml:space="preserve">מכשיר ל"כיול" הדין ולמילוי חוסרים בהקשרים בהם דיני הקניין הרוחני בישראל אינם כוללים הסדר הולם או במקרים בהם </w:t>
      </w:r>
      <w:r w:rsidR="00F51DA8" w:rsidRPr="005F3228">
        <w:rPr>
          <w:rFonts w:ascii="David" w:hAnsi="David" w:cs="David" w:hint="cs"/>
          <w:sz w:val="24"/>
          <w:szCs w:val="24"/>
          <w:rtl/>
        </w:rPr>
        <w:t xml:space="preserve">אכן קיים </w:t>
      </w:r>
      <w:r w:rsidR="00EF7E1C" w:rsidRPr="005F3228">
        <w:rPr>
          <w:rFonts w:ascii="David" w:hAnsi="David" w:cs="David"/>
          <w:sz w:val="24"/>
          <w:szCs w:val="24"/>
          <w:rtl/>
        </w:rPr>
        <w:t>צורך בגמישות לשם גישור בין החוק לבין המציאות הדינאמית</w:t>
      </w:r>
      <w:r w:rsidR="00F51DA8" w:rsidRPr="005F3228">
        <w:rPr>
          <w:rFonts w:ascii="David" w:hAnsi="David" w:cs="David" w:hint="cs"/>
          <w:sz w:val="24"/>
          <w:szCs w:val="24"/>
          <w:rtl/>
        </w:rPr>
        <w:t>.</w:t>
      </w:r>
      <w:r w:rsidR="0045264A" w:rsidRPr="005F3228">
        <w:rPr>
          <w:rFonts w:ascii="David" w:hAnsi="David" w:cs="David" w:hint="cs"/>
          <w:sz w:val="24"/>
          <w:szCs w:val="24"/>
          <w:rtl/>
        </w:rPr>
        <w:t xml:space="preserve"> </w:t>
      </w:r>
      <w:r w:rsidR="00AC718B" w:rsidRPr="005F3228">
        <w:rPr>
          <w:rFonts w:ascii="David" w:hAnsi="David" w:cs="David" w:hint="cs"/>
          <w:sz w:val="24"/>
          <w:szCs w:val="24"/>
          <w:rtl/>
        </w:rPr>
        <w:t xml:space="preserve">כך, </w:t>
      </w:r>
      <w:r w:rsidR="00950685" w:rsidRPr="005F3228">
        <w:rPr>
          <w:rFonts w:ascii="David" w:hAnsi="David" w:cs="David" w:hint="cs"/>
          <w:sz w:val="24"/>
          <w:szCs w:val="24"/>
          <w:rtl/>
        </w:rPr>
        <w:t>דיני</w:t>
      </w:r>
      <w:r w:rsidR="00AC718B" w:rsidRPr="005F3228">
        <w:rPr>
          <w:rFonts w:ascii="David" w:hAnsi="David" w:cs="David" w:hint="cs"/>
          <w:sz w:val="24"/>
          <w:szCs w:val="24"/>
          <w:rtl/>
        </w:rPr>
        <w:t xml:space="preserve"> עשיית עושר משמשים "מתלה נורמטיבי"</w:t>
      </w:r>
      <w:r w:rsidR="00AC718B" w:rsidRPr="005F3228">
        <w:rPr>
          <w:rStyle w:val="FootnoteReference"/>
          <w:rFonts w:ascii="David" w:hAnsi="David" w:cs="David"/>
          <w:sz w:val="24"/>
          <w:szCs w:val="24"/>
          <w:rtl/>
        </w:rPr>
        <w:footnoteReference w:id="139"/>
      </w:r>
      <w:r w:rsidR="00AC718B" w:rsidRPr="005F3228">
        <w:rPr>
          <w:rFonts w:ascii="David" w:hAnsi="David" w:cs="David" w:hint="cs"/>
          <w:sz w:val="24"/>
          <w:szCs w:val="24"/>
          <w:rtl/>
        </w:rPr>
        <w:t xml:space="preserve"> לשתי זכויות "מעין קניין רוחני", הן הזכות לפרסום וזכויות השידור לאירועי ספורט (במישור האירוע).</w:t>
      </w:r>
      <w:r w:rsidR="00AC718B" w:rsidRPr="005F3228">
        <w:rPr>
          <w:rStyle w:val="FootnoteReference"/>
          <w:rFonts w:ascii="David" w:hAnsi="David" w:cs="David"/>
          <w:sz w:val="24"/>
          <w:szCs w:val="24"/>
          <w:rtl/>
        </w:rPr>
        <w:footnoteReference w:id="140"/>
      </w:r>
      <w:r w:rsidR="00AC718B" w:rsidRPr="005F3228">
        <w:rPr>
          <w:rFonts w:ascii="David" w:hAnsi="David" w:cs="David" w:hint="cs"/>
          <w:sz w:val="24"/>
          <w:szCs w:val="24"/>
          <w:rtl/>
        </w:rPr>
        <w:t xml:space="preserve"> </w:t>
      </w:r>
      <w:r w:rsidR="00970A0A" w:rsidRPr="005F3228">
        <w:rPr>
          <w:rFonts w:ascii="David" w:hAnsi="David" w:cs="David" w:hint="cs"/>
          <w:sz w:val="24"/>
          <w:szCs w:val="24"/>
          <w:rtl/>
        </w:rPr>
        <w:t xml:space="preserve">בנוסף, </w:t>
      </w:r>
      <w:r w:rsidR="0045264A" w:rsidRPr="005F3228">
        <w:rPr>
          <w:rFonts w:ascii="David" w:hAnsi="David" w:cs="David" w:hint="cs"/>
          <w:sz w:val="24"/>
          <w:szCs w:val="24"/>
          <w:rtl/>
        </w:rPr>
        <w:t xml:space="preserve">הגמישות </w:t>
      </w:r>
      <w:r w:rsidR="005944AF" w:rsidRPr="005F3228">
        <w:rPr>
          <w:rFonts w:ascii="David" w:hAnsi="David" w:cs="David" w:hint="cs"/>
          <w:sz w:val="24"/>
          <w:szCs w:val="24"/>
          <w:rtl/>
        </w:rPr>
        <w:t xml:space="preserve">שמאפשרים דיני </w:t>
      </w:r>
      <w:r w:rsidR="008E4A4B" w:rsidRPr="005F3228">
        <w:rPr>
          <w:rFonts w:ascii="David" w:hAnsi="David" w:cs="David" w:hint="cs"/>
          <w:sz w:val="24"/>
          <w:szCs w:val="24"/>
          <w:rtl/>
        </w:rPr>
        <w:t xml:space="preserve">עשיית עושר </w:t>
      </w:r>
      <w:r w:rsidR="0045264A" w:rsidRPr="005F3228">
        <w:rPr>
          <w:rFonts w:ascii="David" w:hAnsi="David" w:cs="David" w:hint="cs"/>
          <w:sz w:val="24"/>
          <w:szCs w:val="24"/>
          <w:rtl/>
        </w:rPr>
        <w:t xml:space="preserve">הובילה במקרה אחד גם ל"שימוש הופכי" </w:t>
      </w:r>
      <w:r w:rsidR="00950685" w:rsidRPr="005F3228">
        <w:rPr>
          <w:rFonts w:ascii="David" w:hAnsi="David" w:cs="David" w:hint="cs"/>
          <w:sz w:val="24"/>
          <w:szCs w:val="24"/>
          <w:rtl/>
        </w:rPr>
        <w:t>ב</w:t>
      </w:r>
      <w:r w:rsidR="0045264A" w:rsidRPr="005F3228">
        <w:rPr>
          <w:rFonts w:ascii="David" w:hAnsi="David" w:cs="David" w:hint="cs"/>
          <w:sz w:val="24"/>
          <w:szCs w:val="24"/>
          <w:rtl/>
        </w:rPr>
        <w:t>עשיית עושר, על מנת לשמר את נחלת הכלל ולהגביל את המונופול של בעל הקניין הרוחני.</w:t>
      </w:r>
      <w:r w:rsidR="00C0075B" w:rsidRPr="005F3228">
        <w:rPr>
          <w:rStyle w:val="FootnoteReference"/>
          <w:rFonts w:ascii="David" w:hAnsi="David" w:cs="David"/>
          <w:sz w:val="24"/>
          <w:szCs w:val="24"/>
          <w:rtl/>
        </w:rPr>
        <w:footnoteReference w:id="141"/>
      </w:r>
      <w:r w:rsidR="0045264A" w:rsidRPr="005F3228">
        <w:rPr>
          <w:rFonts w:ascii="David" w:hAnsi="David" w:cs="David" w:hint="cs"/>
          <w:sz w:val="24"/>
          <w:szCs w:val="24"/>
          <w:rtl/>
        </w:rPr>
        <w:t xml:space="preserve"> שימוש כזה </w:t>
      </w:r>
      <w:r w:rsidR="005944AF" w:rsidRPr="005F3228">
        <w:rPr>
          <w:rFonts w:ascii="David" w:hAnsi="David" w:cs="David" w:hint="cs"/>
          <w:sz w:val="24"/>
          <w:szCs w:val="24"/>
          <w:rtl/>
        </w:rPr>
        <w:t xml:space="preserve">הוא </w:t>
      </w:r>
      <w:r w:rsidR="001E4F52" w:rsidRPr="005F3228">
        <w:rPr>
          <w:rFonts w:ascii="David" w:hAnsi="David" w:cs="David" w:hint="cs"/>
          <w:sz w:val="24"/>
          <w:szCs w:val="24"/>
          <w:rtl/>
        </w:rPr>
        <w:t>תוצאה</w:t>
      </w:r>
      <w:r w:rsidR="0045264A" w:rsidRPr="005F3228">
        <w:rPr>
          <w:rFonts w:ascii="David" w:hAnsi="David" w:cs="David" w:hint="cs"/>
          <w:sz w:val="24"/>
          <w:szCs w:val="24"/>
          <w:rtl/>
        </w:rPr>
        <w:t xml:space="preserve"> נוספת, ובלתי צפויה, של </w:t>
      </w:r>
      <w:r w:rsidR="00C0075B" w:rsidRPr="005F3228">
        <w:rPr>
          <w:rFonts w:ascii="David" w:hAnsi="David" w:cs="David" w:hint="cs"/>
          <w:sz w:val="24"/>
          <w:szCs w:val="24"/>
          <w:rtl/>
        </w:rPr>
        <w:t>ה</w:t>
      </w:r>
      <w:r w:rsidR="004A76FB" w:rsidRPr="005F3228">
        <w:rPr>
          <w:rFonts w:ascii="David" w:hAnsi="David" w:cs="David" w:hint="cs"/>
          <w:sz w:val="24"/>
          <w:szCs w:val="24"/>
          <w:rtl/>
        </w:rPr>
        <w:t>פסיקה</w:t>
      </w:r>
      <w:r w:rsidR="00C0075B" w:rsidRPr="005F3228">
        <w:rPr>
          <w:rFonts w:ascii="David" w:hAnsi="David" w:cs="David" w:hint="cs"/>
          <w:sz w:val="24"/>
          <w:szCs w:val="24"/>
          <w:rtl/>
        </w:rPr>
        <w:t xml:space="preserve"> בדבר </w:t>
      </w:r>
      <w:r w:rsidR="0045264A" w:rsidRPr="005F3228">
        <w:rPr>
          <w:rFonts w:ascii="David" w:hAnsi="David" w:cs="David" w:hint="cs"/>
          <w:sz w:val="24"/>
          <w:szCs w:val="24"/>
          <w:rtl/>
        </w:rPr>
        <w:t>העדר ההסדר השלילי</w:t>
      </w:r>
      <w:r w:rsidR="001E4F52" w:rsidRPr="005F3228">
        <w:rPr>
          <w:rFonts w:ascii="David" w:hAnsi="David" w:cs="David" w:hint="cs"/>
          <w:sz w:val="24"/>
          <w:szCs w:val="24"/>
          <w:rtl/>
        </w:rPr>
        <w:t xml:space="preserve"> ביחס שבין </w:t>
      </w:r>
      <w:r w:rsidR="00C0075B" w:rsidRPr="005F3228">
        <w:rPr>
          <w:rFonts w:ascii="David" w:hAnsi="David" w:cs="David" w:hint="cs"/>
          <w:sz w:val="24"/>
          <w:szCs w:val="24"/>
          <w:rtl/>
        </w:rPr>
        <w:t>דיני הקניין הרוחני ודיני עשיית העושר</w:t>
      </w:r>
      <w:r w:rsidR="0045264A" w:rsidRPr="005F3228">
        <w:rPr>
          <w:rFonts w:ascii="David" w:hAnsi="David" w:cs="David" w:hint="cs"/>
          <w:sz w:val="24"/>
          <w:szCs w:val="24"/>
          <w:rtl/>
        </w:rPr>
        <w:t>.</w:t>
      </w:r>
      <w:r w:rsidR="00AF3464" w:rsidRPr="005F3228">
        <w:rPr>
          <w:rStyle w:val="FootnoteReference"/>
          <w:rFonts w:ascii="David" w:hAnsi="David" w:cs="David"/>
          <w:sz w:val="24"/>
          <w:szCs w:val="24"/>
          <w:rtl/>
        </w:rPr>
        <w:footnoteReference w:id="142"/>
      </w:r>
      <w:r w:rsidR="000E1A5F" w:rsidRPr="005F3228">
        <w:rPr>
          <w:rFonts w:ascii="David" w:hAnsi="David" w:cs="David" w:hint="cs"/>
          <w:sz w:val="24"/>
          <w:szCs w:val="24"/>
          <w:rtl/>
        </w:rPr>
        <w:t xml:space="preserve"> </w:t>
      </w:r>
      <w:r w:rsidR="00AF3464" w:rsidRPr="005F3228">
        <w:rPr>
          <w:rFonts w:ascii="David" w:hAnsi="David" w:cs="David" w:hint="cs"/>
          <w:sz w:val="24"/>
          <w:szCs w:val="24"/>
          <w:rtl/>
        </w:rPr>
        <w:t xml:space="preserve">ביטול </w:t>
      </w:r>
      <w:r w:rsidR="00BC4AB1" w:rsidRPr="005F3228">
        <w:rPr>
          <w:rFonts w:ascii="David" w:hAnsi="David" w:cs="David" w:hint="cs"/>
          <w:sz w:val="24"/>
          <w:szCs w:val="24"/>
          <w:rtl/>
        </w:rPr>
        <w:t xml:space="preserve">גורף של </w:t>
      </w:r>
      <w:r w:rsidR="00AF3464" w:rsidRPr="005F3228">
        <w:rPr>
          <w:rFonts w:ascii="David" w:hAnsi="David" w:cs="David" w:hint="cs"/>
          <w:sz w:val="24"/>
          <w:szCs w:val="24"/>
          <w:rtl/>
        </w:rPr>
        <w:t xml:space="preserve">הלכת </w:t>
      </w:r>
      <w:proofErr w:type="spellStart"/>
      <w:r w:rsidR="00AF3464" w:rsidRPr="005F3228">
        <w:rPr>
          <w:rFonts w:ascii="David" w:hAnsi="David" w:cs="David" w:hint="cs"/>
          <w:sz w:val="24"/>
          <w:szCs w:val="24"/>
          <w:rtl/>
        </w:rPr>
        <w:t>א.ש.י.ר</w:t>
      </w:r>
      <w:proofErr w:type="spellEnd"/>
      <w:r w:rsidR="00AF3464" w:rsidRPr="005F3228">
        <w:rPr>
          <w:rFonts w:ascii="David" w:hAnsi="David" w:cs="David" w:hint="cs"/>
          <w:sz w:val="24"/>
          <w:szCs w:val="24"/>
          <w:rtl/>
        </w:rPr>
        <w:t xml:space="preserve">. עלול </w:t>
      </w:r>
      <w:proofErr w:type="spellStart"/>
      <w:r w:rsidR="00AF3464" w:rsidRPr="005F3228">
        <w:rPr>
          <w:rFonts w:ascii="David" w:hAnsi="David" w:cs="David" w:hint="cs"/>
          <w:sz w:val="24"/>
          <w:szCs w:val="24"/>
          <w:rtl/>
        </w:rPr>
        <w:t>איפוא</w:t>
      </w:r>
      <w:proofErr w:type="spellEnd"/>
      <w:r w:rsidR="00AF3464" w:rsidRPr="005F3228">
        <w:rPr>
          <w:rFonts w:ascii="David" w:hAnsi="David" w:cs="David" w:hint="cs"/>
          <w:sz w:val="24"/>
          <w:szCs w:val="24"/>
          <w:rtl/>
        </w:rPr>
        <w:t xml:space="preserve"> לגרור תוצאות </w:t>
      </w:r>
      <w:r w:rsidR="000C0E72" w:rsidRPr="005F3228">
        <w:rPr>
          <w:rFonts w:ascii="David" w:hAnsi="David" w:cs="David" w:hint="cs"/>
          <w:sz w:val="24"/>
          <w:szCs w:val="24"/>
          <w:rtl/>
        </w:rPr>
        <w:t>אשר ספק</w:t>
      </w:r>
      <w:r w:rsidR="00AF3464" w:rsidRPr="005F3228">
        <w:rPr>
          <w:rFonts w:ascii="David" w:hAnsi="David" w:cs="David" w:hint="cs"/>
          <w:sz w:val="24"/>
          <w:szCs w:val="24"/>
          <w:rtl/>
        </w:rPr>
        <w:t xml:space="preserve"> אם נצפו על ידי הקוראים </w:t>
      </w:r>
      <w:r w:rsidR="00950685" w:rsidRPr="005F3228">
        <w:rPr>
          <w:rFonts w:ascii="David" w:hAnsi="David" w:cs="David" w:hint="cs"/>
          <w:sz w:val="24"/>
          <w:szCs w:val="24"/>
          <w:rtl/>
        </w:rPr>
        <w:t>לביטול ההלכה</w:t>
      </w:r>
      <w:r w:rsidR="00BC4AB1" w:rsidRPr="005F3228">
        <w:rPr>
          <w:rFonts w:ascii="Cambria" w:hAnsi="Cambria" w:cs="David"/>
          <w:i/>
          <w:iCs/>
          <w:sz w:val="24"/>
          <w:szCs w:val="24"/>
        </w:rPr>
        <w:t>—</w:t>
      </w:r>
      <w:r w:rsidR="00AF3464" w:rsidRPr="005F3228">
        <w:rPr>
          <w:rFonts w:ascii="David" w:hAnsi="David" w:cs="David" w:hint="cs"/>
          <w:sz w:val="24"/>
          <w:szCs w:val="24"/>
          <w:rtl/>
        </w:rPr>
        <w:t xml:space="preserve"> </w:t>
      </w:r>
      <w:r w:rsidR="00950685" w:rsidRPr="005F3228">
        <w:rPr>
          <w:rFonts w:ascii="David" w:hAnsi="David" w:cs="David" w:hint="cs"/>
          <w:sz w:val="24"/>
          <w:szCs w:val="24"/>
          <w:rtl/>
        </w:rPr>
        <w:t xml:space="preserve">הוא עלול </w:t>
      </w:r>
      <w:r w:rsidR="00AF3464" w:rsidRPr="005F3228">
        <w:rPr>
          <w:rFonts w:ascii="David" w:hAnsi="David" w:cs="David" w:hint="cs"/>
          <w:sz w:val="24"/>
          <w:szCs w:val="24"/>
          <w:rtl/>
        </w:rPr>
        <w:t xml:space="preserve">לשמוט את הקרקע עליה ניצבות הזכות לפרסום וזכויות השידור במישור </w:t>
      </w:r>
      <w:proofErr w:type="spellStart"/>
      <w:r w:rsidR="00AF3464" w:rsidRPr="005F3228">
        <w:rPr>
          <w:rFonts w:ascii="David" w:hAnsi="David" w:cs="David" w:hint="cs"/>
          <w:sz w:val="24"/>
          <w:szCs w:val="24"/>
          <w:rtl/>
        </w:rPr>
        <w:t>הארוע</w:t>
      </w:r>
      <w:proofErr w:type="spellEnd"/>
      <w:r w:rsidR="00950685" w:rsidRPr="005F3228">
        <w:rPr>
          <w:rFonts w:ascii="David" w:hAnsi="David" w:cs="David" w:hint="cs"/>
          <w:sz w:val="24"/>
          <w:szCs w:val="24"/>
          <w:rtl/>
        </w:rPr>
        <w:t xml:space="preserve"> במשפט הישראלי, </w:t>
      </w:r>
      <w:r w:rsidR="00AF3464" w:rsidRPr="005F3228">
        <w:rPr>
          <w:rFonts w:ascii="David" w:hAnsi="David" w:cs="David" w:hint="cs"/>
          <w:sz w:val="24"/>
          <w:szCs w:val="24"/>
          <w:rtl/>
        </w:rPr>
        <w:t xml:space="preserve">ולחסום את הנתיב החדש שנפתח לבלימת הרחבה בלתי מוצדקת של קניין רוחני על ידי בעליו.  </w:t>
      </w:r>
    </w:p>
    <w:p w14:paraId="340DD609" w14:textId="77777777" w:rsidR="001E7D7F" w:rsidRPr="005F3228" w:rsidRDefault="0066550C" w:rsidP="005F62B4">
      <w:pPr>
        <w:spacing w:line="300" w:lineRule="exact"/>
        <w:jc w:val="both"/>
        <w:rPr>
          <w:rFonts w:ascii="David" w:hAnsi="David" w:cs="David"/>
          <w:sz w:val="24"/>
          <w:szCs w:val="24"/>
          <w:rtl/>
        </w:rPr>
      </w:pPr>
      <w:r w:rsidRPr="005F3228">
        <w:rPr>
          <w:rFonts w:ascii="David" w:hAnsi="David" w:cs="David" w:hint="cs"/>
          <w:sz w:val="24"/>
          <w:szCs w:val="24"/>
          <w:rtl/>
        </w:rPr>
        <w:t>בראיה רחבה</w:t>
      </w:r>
      <w:r w:rsidR="009703E3" w:rsidRPr="005F3228">
        <w:rPr>
          <w:rFonts w:ascii="David" w:hAnsi="David" w:cs="David" w:hint="cs"/>
          <w:sz w:val="24"/>
          <w:szCs w:val="24"/>
          <w:rtl/>
        </w:rPr>
        <w:t xml:space="preserve"> יותר</w:t>
      </w:r>
      <w:r w:rsidRPr="005F3228">
        <w:rPr>
          <w:rFonts w:ascii="David" w:hAnsi="David" w:cs="David" w:hint="cs"/>
          <w:sz w:val="24"/>
          <w:szCs w:val="24"/>
          <w:rtl/>
        </w:rPr>
        <w:t xml:space="preserve">, </w:t>
      </w:r>
      <w:r w:rsidR="00F51DA8" w:rsidRPr="005F3228">
        <w:rPr>
          <w:rFonts w:ascii="David" w:hAnsi="David" w:cs="David" w:hint="cs"/>
          <w:sz w:val="24"/>
          <w:szCs w:val="24"/>
          <w:rtl/>
        </w:rPr>
        <w:t xml:space="preserve">המתח בין הצורך בוודאות </w:t>
      </w:r>
      <w:r w:rsidRPr="005F3228">
        <w:rPr>
          <w:rFonts w:ascii="David" w:hAnsi="David" w:cs="David" w:hint="cs"/>
          <w:sz w:val="24"/>
          <w:szCs w:val="24"/>
          <w:rtl/>
        </w:rPr>
        <w:t xml:space="preserve">משפטית </w:t>
      </w:r>
      <w:r w:rsidR="00F51DA8" w:rsidRPr="005F3228">
        <w:rPr>
          <w:rFonts w:ascii="David" w:hAnsi="David" w:cs="David" w:hint="cs"/>
          <w:sz w:val="24"/>
          <w:szCs w:val="24"/>
          <w:rtl/>
        </w:rPr>
        <w:t>לבין הצורך</w:t>
      </w:r>
      <w:r w:rsidR="009703E3" w:rsidRPr="005F3228">
        <w:rPr>
          <w:rFonts w:ascii="David" w:hAnsi="David" w:cs="David" w:hint="cs"/>
          <w:sz w:val="24"/>
          <w:szCs w:val="24"/>
          <w:rtl/>
        </w:rPr>
        <w:t xml:space="preserve"> של המשפט</w:t>
      </w:r>
      <w:r w:rsidR="00F51DA8" w:rsidRPr="005F3228">
        <w:rPr>
          <w:rFonts w:ascii="David" w:hAnsi="David" w:cs="David" w:hint="cs"/>
          <w:sz w:val="24"/>
          <w:szCs w:val="24"/>
          <w:rtl/>
        </w:rPr>
        <w:t xml:space="preserve"> בשמירה על גמישות הוא סוגיה ותיקה, </w:t>
      </w:r>
      <w:r w:rsidRPr="005F3228">
        <w:rPr>
          <w:rFonts w:ascii="David" w:hAnsi="David" w:cs="David" w:hint="cs"/>
          <w:sz w:val="24"/>
          <w:szCs w:val="24"/>
          <w:rtl/>
        </w:rPr>
        <w:t>ש</w:t>
      </w:r>
      <w:r w:rsidR="009703E3" w:rsidRPr="005F3228">
        <w:rPr>
          <w:rFonts w:ascii="David" w:hAnsi="David" w:cs="David" w:hint="cs"/>
          <w:sz w:val="24"/>
          <w:szCs w:val="24"/>
          <w:rtl/>
        </w:rPr>
        <w:t xml:space="preserve">אינה מוגבלת להלכת </w:t>
      </w:r>
      <w:proofErr w:type="spellStart"/>
      <w:r w:rsidR="009703E3" w:rsidRPr="005F3228">
        <w:rPr>
          <w:rFonts w:ascii="David" w:hAnsi="David" w:cs="David" w:hint="cs"/>
          <w:sz w:val="24"/>
          <w:szCs w:val="24"/>
          <w:rtl/>
        </w:rPr>
        <w:t>א.ש.י.ר</w:t>
      </w:r>
      <w:proofErr w:type="spellEnd"/>
      <w:r w:rsidR="009703E3" w:rsidRPr="005F3228">
        <w:rPr>
          <w:rFonts w:ascii="David" w:hAnsi="David" w:cs="David" w:hint="cs"/>
          <w:sz w:val="24"/>
          <w:szCs w:val="24"/>
          <w:rtl/>
        </w:rPr>
        <w:t>.</w:t>
      </w:r>
      <w:r w:rsidR="004A76FB" w:rsidRPr="005F3228">
        <w:rPr>
          <w:rFonts w:ascii="David" w:hAnsi="David" w:cs="David" w:hint="cs"/>
          <w:sz w:val="24"/>
          <w:szCs w:val="24"/>
          <w:rtl/>
        </w:rPr>
        <w:t>,</w:t>
      </w:r>
      <w:r w:rsidR="009703E3" w:rsidRPr="005F3228">
        <w:rPr>
          <w:rFonts w:ascii="David" w:hAnsi="David" w:cs="David" w:hint="cs"/>
          <w:sz w:val="24"/>
          <w:szCs w:val="24"/>
          <w:rtl/>
        </w:rPr>
        <w:t xml:space="preserve"> אלא </w:t>
      </w:r>
      <w:r w:rsidR="00F51DA8" w:rsidRPr="005F3228">
        <w:rPr>
          <w:rFonts w:ascii="David" w:hAnsi="David" w:cs="David" w:hint="cs"/>
          <w:sz w:val="24"/>
          <w:szCs w:val="24"/>
          <w:rtl/>
        </w:rPr>
        <w:t>מ</w:t>
      </w:r>
      <w:r w:rsidRPr="005F3228">
        <w:rPr>
          <w:rFonts w:ascii="David" w:hAnsi="David" w:cs="David" w:hint="cs"/>
          <w:sz w:val="24"/>
          <w:szCs w:val="24"/>
          <w:rtl/>
        </w:rPr>
        <w:t xml:space="preserve">תעוררת </w:t>
      </w:r>
      <w:r w:rsidR="00F51DA8" w:rsidRPr="005F3228">
        <w:rPr>
          <w:rFonts w:ascii="David" w:hAnsi="David" w:cs="David" w:hint="cs"/>
          <w:sz w:val="24"/>
          <w:szCs w:val="24"/>
          <w:rtl/>
        </w:rPr>
        <w:t>בהקשרים רבים</w:t>
      </w:r>
      <w:r w:rsidRPr="005F3228">
        <w:rPr>
          <w:rFonts w:ascii="David" w:hAnsi="David" w:cs="David" w:hint="cs"/>
          <w:sz w:val="24"/>
          <w:szCs w:val="24"/>
          <w:rtl/>
        </w:rPr>
        <w:t xml:space="preserve"> ומגוונים</w:t>
      </w:r>
      <w:r w:rsidR="000C0E72" w:rsidRPr="005F3228">
        <w:rPr>
          <w:rFonts w:ascii="David" w:hAnsi="David" w:cs="David" w:hint="cs"/>
          <w:sz w:val="24"/>
          <w:szCs w:val="24"/>
          <w:rtl/>
        </w:rPr>
        <w:t>,</w:t>
      </w:r>
      <w:r w:rsidRPr="005F3228">
        <w:rPr>
          <w:rFonts w:ascii="David" w:hAnsi="David" w:cs="David" w:hint="cs"/>
          <w:sz w:val="24"/>
          <w:szCs w:val="24"/>
          <w:rtl/>
        </w:rPr>
        <w:t xml:space="preserve"> כמו למשל </w:t>
      </w:r>
      <w:r w:rsidR="00AE5954" w:rsidRPr="005F3228">
        <w:rPr>
          <w:rFonts w:ascii="David" w:hAnsi="David" w:cs="David" w:hint="cs"/>
          <w:sz w:val="24"/>
          <w:szCs w:val="24"/>
          <w:rtl/>
        </w:rPr>
        <w:t>ה</w:t>
      </w:r>
      <w:r w:rsidRPr="005F3228">
        <w:rPr>
          <w:rFonts w:ascii="David" w:hAnsi="David" w:cs="David" w:hint="cs"/>
          <w:sz w:val="24"/>
          <w:szCs w:val="24"/>
          <w:rtl/>
        </w:rPr>
        <w:t xml:space="preserve">בחירה בין </w:t>
      </w:r>
      <w:r w:rsidR="00AE5954" w:rsidRPr="005F3228">
        <w:rPr>
          <w:rFonts w:ascii="David" w:hAnsi="David" w:cs="David" w:hint="cs"/>
          <w:sz w:val="24"/>
          <w:szCs w:val="24"/>
          <w:rtl/>
        </w:rPr>
        <w:t xml:space="preserve">אימוץ </w:t>
      </w:r>
      <w:r w:rsidRPr="005F3228">
        <w:rPr>
          <w:rFonts w:ascii="David" w:hAnsi="David" w:cs="David" w:hint="cs"/>
          <w:sz w:val="24"/>
          <w:szCs w:val="24"/>
          <w:rtl/>
        </w:rPr>
        <w:t xml:space="preserve">כללים </w:t>
      </w:r>
      <w:r w:rsidR="00AE5954" w:rsidRPr="005F3228">
        <w:rPr>
          <w:rFonts w:ascii="David" w:hAnsi="David" w:cs="David" w:hint="cs"/>
          <w:sz w:val="24"/>
          <w:szCs w:val="24"/>
          <w:rtl/>
        </w:rPr>
        <w:t xml:space="preserve">לאימוץ </w:t>
      </w:r>
      <w:r w:rsidRPr="005F3228">
        <w:rPr>
          <w:rFonts w:ascii="David" w:hAnsi="David" w:cs="David" w:hint="cs"/>
          <w:sz w:val="24"/>
          <w:szCs w:val="24"/>
          <w:rtl/>
        </w:rPr>
        <w:t xml:space="preserve">סטנדרטים, או </w:t>
      </w:r>
      <w:r w:rsidR="004A76FB" w:rsidRPr="005F3228">
        <w:rPr>
          <w:rFonts w:ascii="David" w:hAnsi="David" w:cs="David" w:hint="cs"/>
          <w:sz w:val="24"/>
          <w:szCs w:val="24"/>
          <w:rtl/>
        </w:rPr>
        <w:t xml:space="preserve">אופן </w:t>
      </w:r>
      <w:r w:rsidR="00C740E8" w:rsidRPr="005F3228">
        <w:rPr>
          <w:rFonts w:ascii="David" w:hAnsi="David" w:cs="David" w:hint="cs"/>
          <w:sz w:val="24"/>
          <w:szCs w:val="24"/>
          <w:rtl/>
        </w:rPr>
        <w:t xml:space="preserve">התייחסותו של המשפט </w:t>
      </w:r>
      <w:r w:rsidR="00C740E8" w:rsidRPr="005F3228">
        <w:rPr>
          <w:rFonts w:ascii="David" w:hAnsi="David" w:cs="David" w:hint="cs"/>
          <w:sz w:val="24"/>
          <w:szCs w:val="24"/>
          <w:rtl/>
        </w:rPr>
        <w:lastRenderedPageBreak/>
        <w:t>לעמימות</w:t>
      </w:r>
      <w:r w:rsidRPr="005F3228">
        <w:rPr>
          <w:rFonts w:ascii="David" w:hAnsi="David" w:cs="David" w:hint="cs"/>
          <w:sz w:val="24"/>
          <w:szCs w:val="24"/>
          <w:rtl/>
        </w:rPr>
        <w:t xml:space="preserve"> בניסוח חוזים.</w:t>
      </w:r>
      <w:bookmarkStart w:id="59" w:name="_Ref28467600"/>
      <w:r w:rsidR="004A76FB" w:rsidRPr="005F3228">
        <w:rPr>
          <w:rStyle w:val="FootnoteReference"/>
          <w:rFonts w:ascii="David" w:hAnsi="David" w:cs="David"/>
          <w:sz w:val="24"/>
          <w:szCs w:val="24"/>
          <w:rtl/>
        </w:rPr>
        <w:footnoteReference w:id="143"/>
      </w:r>
      <w:bookmarkEnd w:id="59"/>
      <w:r w:rsidRPr="005F3228">
        <w:rPr>
          <w:rFonts w:ascii="David" w:hAnsi="David" w:cs="David" w:hint="cs"/>
          <w:sz w:val="24"/>
          <w:szCs w:val="24"/>
          <w:rtl/>
        </w:rPr>
        <w:t xml:space="preserve"> יתרונות ה</w:t>
      </w:r>
      <w:r w:rsidR="009703E3" w:rsidRPr="005F3228">
        <w:rPr>
          <w:rFonts w:ascii="David" w:hAnsi="David" w:cs="David" w:hint="cs"/>
          <w:sz w:val="24"/>
          <w:szCs w:val="24"/>
          <w:rtl/>
        </w:rPr>
        <w:t>וודאות המשפטית ברורים</w:t>
      </w:r>
      <w:r w:rsidR="002F2286" w:rsidRPr="005F3228">
        <w:rPr>
          <w:rFonts w:ascii="David" w:hAnsi="David" w:cs="David" w:hint="cs"/>
          <w:sz w:val="24"/>
          <w:szCs w:val="24"/>
          <w:rtl/>
        </w:rPr>
        <w:t xml:space="preserve"> ומובנים מאליהם</w:t>
      </w:r>
      <w:r w:rsidR="009703E3" w:rsidRPr="005F3228">
        <w:rPr>
          <w:rFonts w:ascii="David" w:hAnsi="David" w:cs="David" w:hint="cs"/>
          <w:sz w:val="24"/>
          <w:szCs w:val="24"/>
          <w:rtl/>
        </w:rPr>
        <w:t xml:space="preserve">. </w:t>
      </w:r>
      <w:r w:rsidR="0045264A" w:rsidRPr="005F3228">
        <w:rPr>
          <w:rFonts w:ascii="David" w:hAnsi="David" w:cs="David" w:hint="cs"/>
          <w:sz w:val="24"/>
          <w:szCs w:val="24"/>
          <w:rtl/>
        </w:rPr>
        <w:t>המחקר שלנו</w:t>
      </w:r>
      <w:r w:rsidRPr="005F3228">
        <w:rPr>
          <w:rFonts w:ascii="David" w:hAnsi="David" w:cs="David" w:hint="cs"/>
          <w:sz w:val="24"/>
          <w:szCs w:val="24"/>
          <w:rtl/>
        </w:rPr>
        <w:t xml:space="preserve"> מאיר את </w:t>
      </w:r>
      <w:r w:rsidR="002F2286" w:rsidRPr="005F3228">
        <w:rPr>
          <w:rFonts w:ascii="David" w:hAnsi="David" w:cs="David" w:hint="cs"/>
          <w:sz w:val="24"/>
          <w:szCs w:val="24"/>
          <w:rtl/>
        </w:rPr>
        <w:t xml:space="preserve">יתרונות השמירה על </w:t>
      </w:r>
      <w:r w:rsidR="0045264A" w:rsidRPr="005F3228">
        <w:rPr>
          <w:rFonts w:ascii="David" w:hAnsi="David" w:cs="David" w:hint="cs"/>
          <w:sz w:val="24"/>
          <w:szCs w:val="24"/>
          <w:rtl/>
        </w:rPr>
        <w:t>גמישות מסוימת</w:t>
      </w:r>
      <w:r w:rsidR="006C53CD" w:rsidRPr="005F3228">
        <w:rPr>
          <w:rFonts w:ascii="David" w:hAnsi="David" w:cs="David" w:hint="cs"/>
          <w:sz w:val="24"/>
          <w:szCs w:val="24"/>
          <w:rtl/>
        </w:rPr>
        <w:t xml:space="preserve">. הוא </w:t>
      </w:r>
      <w:r w:rsidR="002F2286" w:rsidRPr="005F3228">
        <w:rPr>
          <w:rFonts w:ascii="David" w:hAnsi="David" w:cs="David" w:hint="cs"/>
          <w:sz w:val="24"/>
          <w:szCs w:val="24"/>
          <w:rtl/>
        </w:rPr>
        <w:t xml:space="preserve">מצביע על כך שגמישות כזאת </w:t>
      </w:r>
      <w:r w:rsidR="008C24DD" w:rsidRPr="005F3228">
        <w:rPr>
          <w:rFonts w:ascii="David" w:hAnsi="David" w:cs="David" w:hint="cs"/>
          <w:sz w:val="24"/>
          <w:szCs w:val="24"/>
          <w:rtl/>
        </w:rPr>
        <w:t xml:space="preserve">אינה </w:t>
      </w:r>
      <w:r w:rsidR="006C53CD" w:rsidRPr="005F3228">
        <w:rPr>
          <w:rFonts w:ascii="David" w:hAnsi="David" w:cs="David" w:hint="cs"/>
          <w:sz w:val="24"/>
          <w:szCs w:val="24"/>
          <w:rtl/>
        </w:rPr>
        <w:t>שקולה ל</w:t>
      </w:r>
      <w:r w:rsidR="008C24DD" w:rsidRPr="005F3228">
        <w:rPr>
          <w:rFonts w:ascii="David" w:hAnsi="David" w:cs="David" w:hint="cs"/>
          <w:sz w:val="24"/>
          <w:szCs w:val="24"/>
          <w:rtl/>
        </w:rPr>
        <w:t>כאוס מוחלט</w:t>
      </w:r>
      <w:r w:rsidR="006C53CD" w:rsidRPr="005F3228">
        <w:rPr>
          <w:rFonts w:ascii="David" w:hAnsi="David" w:cs="David" w:hint="cs"/>
          <w:sz w:val="24"/>
          <w:szCs w:val="24"/>
          <w:rtl/>
        </w:rPr>
        <w:t>, היא מספקת</w:t>
      </w:r>
      <w:r w:rsidR="002F2286" w:rsidRPr="005F3228">
        <w:rPr>
          <w:rFonts w:ascii="David" w:hAnsi="David" w:cs="David" w:hint="cs"/>
          <w:sz w:val="24"/>
          <w:szCs w:val="24"/>
          <w:rtl/>
        </w:rPr>
        <w:t xml:space="preserve"> למערכת כלי לכיול </w:t>
      </w:r>
      <w:proofErr w:type="spellStart"/>
      <w:r w:rsidR="002F2286" w:rsidRPr="005F3228">
        <w:rPr>
          <w:rFonts w:ascii="David" w:hAnsi="David" w:cs="David" w:hint="cs"/>
          <w:sz w:val="24"/>
          <w:szCs w:val="24"/>
          <w:rtl/>
        </w:rPr>
        <w:t>ולויסות</w:t>
      </w:r>
      <w:proofErr w:type="spellEnd"/>
      <w:r w:rsidR="002F2286" w:rsidRPr="005F3228">
        <w:rPr>
          <w:rFonts w:ascii="David" w:hAnsi="David" w:cs="David" w:hint="cs"/>
          <w:sz w:val="24"/>
          <w:szCs w:val="24"/>
          <w:rtl/>
        </w:rPr>
        <w:t xml:space="preserve"> </w:t>
      </w:r>
      <w:r w:rsidR="008C24DD" w:rsidRPr="005F3228">
        <w:rPr>
          <w:rFonts w:ascii="David" w:hAnsi="David" w:cs="David" w:hint="cs"/>
          <w:sz w:val="24"/>
          <w:szCs w:val="24"/>
          <w:rtl/>
        </w:rPr>
        <w:t xml:space="preserve">הדין, </w:t>
      </w:r>
      <w:r w:rsidR="002F2286" w:rsidRPr="005F3228">
        <w:rPr>
          <w:rFonts w:ascii="David" w:hAnsi="David" w:cs="David" w:hint="cs"/>
          <w:sz w:val="24"/>
          <w:szCs w:val="24"/>
          <w:rtl/>
        </w:rPr>
        <w:t>ומגבי</w:t>
      </w:r>
      <w:r w:rsidR="006C53CD" w:rsidRPr="005F3228">
        <w:rPr>
          <w:rFonts w:ascii="David" w:hAnsi="David" w:cs="David" w:hint="cs"/>
          <w:sz w:val="24"/>
          <w:szCs w:val="24"/>
          <w:rtl/>
        </w:rPr>
        <w:t>ר</w:t>
      </w:r>
      <w:r w:rsidR="002F2286" w:rsidRPr="005F3228">
        <w:rPr>
          <w:rFonts w:ascii="David" w:hAnsi="David" w:cs="David" w:hint="cs"/>
          <w:sz w:val="24"/>
          <w:szCs w:val="24"/>
          <w:rtl/>
        </w:rPr>
        <w:t>ה את יכולתה להסתגל ל</w:t>
      </w:r>
      <w:r w:rsidR="0045264A" w:rsidRPr="005F3228">
        <w:rPr>
          <w:rFonts w:ascii="David" w:hAnsi="David" w:cs="David" w:hint="cs"/>
          <w:sz w:val="24"/>
          <w:szCs w:val="24"/>
          <w:rtl/>
        </w:rPr>
        <w:t xml:space="preserve">מציאות דינמית ומשתנה. </w:t>
      </w:r>
      <w:r w:rsidR="008C24DD" w:rsidRPr="005F3228">
        <w:rPr>
          <w:rFonts w:ascii="David" w:hAnsi="David" w:cs="David" w:hint="cs"/>
          <w:sz w:val="24"/>
          <w:szCs w:val="24"/>
          <w:rtl/>
        </w:rPr>
        <w:t xml:space="preserve">תכונות אלה </w:t>
      </w:r>
      <w:r w:rsidR="002F2286" w:rsidRPr="005F3228">
        <w:rPr>
          <w:rFonts w:ascii="David" w:hAnsi="David" w:cs="David" w:hint="cs"/>
          <w:sz w:val="24"/>
          <w:szCs w:val="24"/>
          <w:rtl/>
        </w:rPr>
        <w:t xml:space="preserve">של </w:t>
      </w:r>
      <w:r w:rsidR="005F62B4" w:rsidRPr="005F3228">
        <w:rPr>
          <w:rFonts w:ascii="David" w:hAnsi="David" w:cs="David" w:hint="cs"/>
          <w:sz w:val="24"/>
          <w:szCs w:val="24"/>
          <w:rtl/>
        </w:rPr>
        <w:t>סתגלנות</w:t>
      </w:r>
      <w:r w:rsidR="002F2286" w:rsidRPr="005F3228">
        <w:rPr>
          <w:rFonts w:ascii="David" w:hAnsi="David" w:cs="David" w:hint="cs"/>
          <w:sz w:val="24"/>
          <w:szCs w:val="24"/>
          <w:rtl/>
        </w:rPr>
        <w:t xml:space="preserve"> ותגובה לשינויים </w:t>
      </w:r>
      <w:r w:rsidR="008C24DD" w:rsidRPr="005F3228">
        <w:rPr>
          <w:rFonts w:ascii="David" w:hAnsi="David" w:cs="David" w:hint="cs"/>
          <w:sz w:val="24"/>
          <w:szCs w:val="24"/>
          <w:rtl/>
        </w:rPr>
        <w:t>זוהו בספרות המדעית הכללית כתכונות חיוניות, המגבירות את החוסן של מערכות מורכבות.</w:t>
      </w:r>
      <w:r w:rsidR="00600307" w:rsidRPr="005F3228">
        <w:rPr>
          <w:rStyle w:val="FootnoteReference"/>
          <w:rFonts w:ascii="David" w:hAnsi="David" w:cs="David"/>
          <w:sz w:val="24"/>
          <w:szCs w:val="24"/>
          <w:rtl/>
        </w:rPr>
        <w:footnoteReference w:id="144"/>
      </w:r>
      <w:r w:rsidR="008C24DD" w:rsidRPr="005F3228">
        <w:rPr>
          <w:rFonts w:ascii="David" w:hAnsi="David" w:cs="David" w:hint="cs"/>
          <w:sz w:val="24"/>
          <w:szCs w:val="24"/>
          <w:rtl/>
        </w:rPr>
        <w:t xml:space="preserve"> </w:t>
      </w:r>
    </w:p>
    <w:p w14:paraId="11D8E978" w14:textId="77777777" w:rsidR="00D945AB" w:rsidRPr="005F3228" w:rsidRDefault="007E6F51" w:rsidP="005F62B4">
      <w:pPr>
        <w:spacing w:line="300" w:lineRule="exact"/>
        <w:jc w:val="both"/>
        <w:rPr>
          <w:rFonts w:ascii="David" w:hAnsi="David" w:cs="David"/>
          <w:rtl/>
        </w:rPr>
      </w:pPr>
      <w:r w:rsidRPr="005F3228">
        <w:rPr>
          <w:rFonts w:ascii="David" w:hAnsi="David" w:cs="David" w:hint="cs"/>
          <w:sz w:val="24"/>
          <w:szCs w:val="24"/>
          <w:rtl/>
        </w:rPr>
        <w:t>ב</w:t>
      </w:r>
      <w:r w:rsidR="001E7D7F" w:rsidRPr="005F3228">
        <w:rPr>
          <w:rFonts w:ascii="David" w:hAnsi="David" w:cs="David" w:hint="cs"/>
          <w:sz w:val="24"/>
          <w:szCs w:val="24"/>
          <w:rtl/>
        </w:rPr>
        <w:t xml:space="preserve">שקלול </w:t>
      </w:r>
      <w:r w:rsidRPr="005F3228">
        <w:rPr>
          <w:rFonts w:ascii="David" w:hAnsi="David" w:cs="David" w:hint="cs"/>
          <w:sz w:val="24"/>
          <w:szCs w:val="24"/>
          <w:rtl/>
        </w:rPr>
        <w:t xml:space="preserve">ממצאי המחקר, </w:t>
      </w:r>
      <w:r w:rsidR="006C53CD" w:rsidRPr="005F3228">
        <w:rPr>
          <w:rFonts w:ascii="David" w:hAnsi="David" w:cs="David" w:hint="cs"/>
          <w:sz w:val="24"/>
          <w:szCs w:val="24"/>
          <w:rtl/>
        </w:rPr>
        <w:t>לאור</w:t>
      </w:r>
      <w:r w:rsidR="00EF7E1C" w:rsidRPr="005F3228">
        <w:rPr>
          <w:rFonts w:ascii="David" w:hAnsi="David" w:cs="David"/>
          <w:sz w:val="24"/>
          <w:szCs w:val="24"/>
          <w:rtl/>
        </w:rPr>
        <w:t xml:space="preserve"> תפקיד</w:t>
      </w:r>
      <w:r w:rsidR="005F62B4" w:rsidRPr="005F3228">
        <w:rPr>
          <w:rFonts w:ascii="David" w:hAnsi="David" w:cs="David" w:hint="cs"/>
          <w:sz w:val="24"/>
          <w:szCs w:val="24"/>
          <w:rtl/>
        </w:rPr>
        <w:t>ם</w:t>
      </w:r>
      <w:r w:rsidR="00EF7E1C" w:rsidRPr="005F3228">
        <w:rPr>
          <w:rFonts w:ascii="David" w:hAnsi="David" w:cs="David"/>
          <w:sz w:val="24"/>
          <w:szCs w:val="24"/>
          <w:rtl/>
        </w:rPr>
        <w:t xml:space="preserve"> המו</w:t>
      </w:r>
      <w:r w:rsidR="00C740E8" w:rsidRPr="005F3228">
        <w:rPr>
          <w:rFonts w:ascii="David" w:hAnsi="David" w:cs="David" w:hint="cs"/>
          <w:sz w:val="24"/>
          <w:szCs w:val="24"/>
          <w:rtl/>
        </w:rPr>
        <w:t>ו</w:t>
      </w:r>
      <w:r w:rsidR="00EF7E1C" w:rsidRPr="005F3228">
        <w:rPr>
          <w:rFonts w:ascii="David" w:hAnsi="David" w:cs="David"/>
          <w:sz w:val="24"/>
          <w:szCs w:val="24"/>
          <w:rtl/>
        </w:rPr>
        <w:t>סת ו</w:t>
      </w:r>
      <w:r w:rsidR="006C53CD" w:rsidRPr="005F3228">
        <w:rPr>
          <w:rFonts w:ascii="David" w:hAnsi="David" w:cs="David" w:hint="cs"/>
          <w:sz w:val="24"/>
          <w:szCs w:val="24"/>
          <w:rtl/>
        </w:rPr>
        <w:t>ה</w:t>
      </w:r>
      <w:r w:rsidR="00EF7E1C" w:rsidRPr="005F3228">
        <w:rPr>
          <w:rFonts w:ascii="David" w:hAnsi="David" w:cs="David"/>
          <w:sz w:val="24"/>
          <w:szCs w:val="24"/>
          <w:rtl/>
        </w:rPr>
        <w:t xml:space="preserve">מכייל של </w:t>
      </w:r>
      <w:r w:rsidR="005F62B4" w:rsidRPr="005F3228">
        <w:rPr>
          <w:rFonts w:ascii="David" w:hAnsi="David" w:cs="David" w:hint="cs"/>
          <w:sz w:val="24"/>
          <w:szCs w:val="24"/>
          <w:rtl/>
        </w:rPr>
        <w:t xml:space="preserve">דיני </w:t>
      </w:r>
      <w:r w:rsidR="00EF7E1C" w:rsidRPr="005F3228">
        <w:rPr>
          <w:rFonts w:ascii="David" w:hAnsi="David" w:cs="David"/>
          <w:sz w:val="24"/>
          <w:szCs w:val="24"/>
          <w:rtl/>
        </w:rPr>
        <w:t xml:space="preserve">עשיית </w:t>
      </w:r>
      <w:r w:rsidR="005F62B4" w:rsidRPr="005F3228">
        <w:rPr>
          <w:rFonts w:ascii="David" w:hAnsi="David" w:cs="David" w:hint="cs"/>
          <w:sz w:val="24"/>
          <w:szCs w:val="24"/>
          <w:rtl/>
        </w:rPr>
        <w:t>ה</w:t>
      </w:r>
      <w:r w:rsidR="00EF7E1C" w:rsidRPr="005F3228">
        <w:rPr>
          <w:rFonts w:ascii="David" w:hAnsi="David" w:cs="David"/>
          <w:sz w:val="24"/>
          <w:szCs w:val="24"/>
          <w:rtl/>
        </w:rPr>
        <w:t>עושר</w:t>
      </w:r>
      <w:r w:rsidR="006C53CD" w:rsidRPr="005F3228">
        <w:rPr>
          <w:rFonts w:ascii="David" w:hAnsi="David" w:cs="David" w:hint="cs"/>
          <w:sz w:val="24"/>
          <w:szCs w:val="24"/>
          <w:rtl/>
        </w:rPr>
        <w:t xml:space="preserve"> בהקשר של תוצרים רוחניים</w:t>
      </w:r>
      <w:r w:rsidR="00EF7E1C" w:rsidRPr="005F3228">
        <w:rPr>
          <w:rFonts w:ascii="David" w:hAnsi="David" w:cs="David"/>
          <w:sz w:val="24"/>
          <w:szCs w:val="24"/>
          <w:rtl/>
        </w:rPr>
        <w:t>, ומכיוון שמסתבר כי ניתן לעשות בה</w:t>
      </w:r>
      <w:r w:rsidR="005F62B4" w:rsidRPr="005F3228">
        <w:rPr>
          <w:rFonts w:ascii="David" w:hAnsi="David" w:cs="David" w:hint="cs"/>
          <w:sz w:val="24"/>
          <w:szCs w:val="24"/>
          <w:rtl/>
        </w:rPr>
        <w:t>ם</w:t>
      </w:r>
      <w:r w:rsidR="00EF7E1C" w:rsidRPr="005F3228">
        <w:rPr>
          <w:rFonts w:ascii="David" w:hAnsi="David" w:cs="David"/>
          <w:sz w:val="24"/>
          <w:szCs w:val="24"/>
          <w:rtl/>
        </w:rPr>
        <w:t xml:space="preserve"> שימוש מבלי לפגוע פגיעה קשה בוודאות או באיזונים אותם מבקשים דיני הקניין הרוחני להגשים, אנו סבורים כי אין הצדקה לביטול גורף של הלכת </w:t>
      </w:r>
      <w:proofErr w:type="spellStart"/>
      <w:r w:rsidR="00EF7E1C" w:rsidRPr="005F3228">
        <w:rPr>
          <w:rFonts w:ascii="David" w:hAnsi="David" w:cs="David"/>
          <w:sz w:val="24"/>
          <w:szCs w:val="24"/>
          <w:rtl/>
        </w:rPr>
        <w:t>א.ש.י.ר</w:t>
      </w:r>
      <w:proofErr w:type="spellEnd"/>
      <w:r w:rsidR="00EF7E1C" w:rsidRPr="005F3228">
        <w:rPr>
          <w:rFonts w:ascii="David" w:hAnsi="David" w:cs="David"/>
          <w:sz w:val="24"/>
          <w:szCs w:val="24"/>
          <w:rtl/>
        </w:rPr>
        <w:t xml:space="preserve">. </w:t>
      </w:r>
    </w:p>
    <w:p w14:paraId="49815E09" w14:textId="77777777" w:rsidR="00F215A5" w:rsidRPr="005F3228" w:rsidRDefault="00F215A5" w:rsidP="00CB68EA">
      <w:pPr>
        <w:pStyle w:val="Heading1"/>
        <w:spacing w:line="300" w:lineRule="exact"/>
        <w:rPr>
          <w:rFonts w:ascii="David" w:hAnsi="David" w:cs="David"/>
          <w:rtl/>
        </w:rPr>
      </w:pPr>
      <w:r w:rsidRPr="005F3228">
        <w:rPr>
          <w:rFonts w:ascii="David" w:hAnsi="David" w:cs="David"/>
          <w:rtl/>
        </w:rPr>
        <w:t>סיכום</w:t>
      </w:r>
      <w:bookmarkEnd w:id="57"/>
      <w:r w:rsidR="00072FB5" w:rsidRPr="005F3228">
        <w:rPr>
          <w:rFonts w:ascii="David" w:hAnsi="David" w:cs="David" w:hint="cs"/>
          <w:rtl/>
        </w:rPr>
        <w:t xml:space="preserve"> </w:t>
      </w:r>
      <w:bookmarkEnd w:id="58"/>
    </w:p>
    <w:p w14:paraId="03015704" w14:textId="77777777" w:rsidR="00C740E8" w:rsidRPr="005F3228" w:rsidRDefault="00F215A5" w:rsidP="00FC1E81">
      <w:pPr>
        <w:spacing w:line="300" w:lineRule="exact"/>
        <w:jc w:val="both"/>
        <w:rPr>
          <w:rFonts w:ascii="David" w:hAnsi="David" w:cs="David"/>
          <w:sz w:val="24"/>
          <w:szCs w:val="24"/>
          <w:rtl/>
        </w:rPr>
      </w:pPr>
      <w:r w:rsidRPr="005F3228">
        <w:rPr>
          <w:rFonts w:ascii="David" w:hAnsi="David" w:cs="David"/>
          <w:sz w:val="24"/>
          <w:szCs w:val="24"/>
          <w:rtl/>
        </w:rPr>
        <w:t xml:space="preserve">בעשרים השנים שחלפו מאז ניתן פסק הדין של בית המשפט העליון בעניין </w:t>
      </w:r>
      <w:proofErr w:type="spellStart"/>
      <w:r w:rsidRPr="005F3228">
        <w:rPr>
          <w:rFonts w:ascii="David" w:hAnsi="David" w:cs="David"/>
          <w:sz w:val="24"/>
          <w:szCs w:val="24"/>
          <w:rtl/>
        </w:rPr>
        <w:t>א.ש.י.ר</w:t>
      </w:r>
      <w:proofErr w:type="spellEnd"/>
      <w:r w:rsidRPr="005F3228">
        <w:rPr>
          <w:rFonts w:ascii="David" w:hAnsi="David" w:cs="David"/>
          <w:sz w:val="24"/>
          <w:szCs w:val="24"/>
          <w:rtl/>
        </w:rPr>
        <w:t xml:space="preserve">., נמתחה ביקורת רבה על ההלכה ונשמעו קריאות לביטולה. ואולם, בחינה אמפירית של הפסיקה שניתנה במהלך תקופה זו מלמדת כי החששות מהשלכותיה של הלכת </w:t>
      </w:r>
      <w:proofErr w:type="spellStart"/>
      <w:r w:rsidRPr="005F3228">
        <w:rPr>
          <w:rFonts w:ascii="David" w:hAnsi="David" w:cs="David"/>
          <w:sz w:val="24"/>
          <w:szCs w:val="24"/>
          <w:rtl/>
        </w:rPr>
        <w:t>א.ש.י.ר</w:t>
      </w:r>
      <w:proofErr w:type="spellEnd"/>
      <w:r w:rsidRPr="005F3228">
        <w:rPr>
          <w:rFonts w:ascii="David" w:hAnsi="David" w:cs="David"/>
          <w:sz w:val="24"/>
          <w:szCs w:val="24"/>
          <w:rtl/>
        </w:rPr>
        <w:t xml:space="preserve">. </w:t>
      </w:r>
      <w:r w:rsidR="0047225C" w:rsidRPr="005F3228">
        <w:rPr>
          <w:rFonts w:ascii="David" w:hAnsi="David" w:cs="David" w:hint="cs"/>
          <w:sz w:val="24"/>
          <w:szCs w:val="24"/>
          <w:rtl/>
        </w:rPr>
        <w:t>הסתברו</w:t>
      </w:r>
      <w:r w:rsidRPr="005F3228">
        <w:rPr>
          <w:rFonts w:ascii="David" w:hAnsi="David" w:cs="David"/>
          <w:sz w:val="24"/>
          <w:szCs w:val="24"/>
          <w:rtl/>
        </w:rPr>
        <w:t xml:space="preserve"> </w:t>
      </w:r>
      <w:r w:rsidR="0047225C" w:rsidRPr="005F3228">
        <w:rPr>
          <w:rFonts w:ascii="David" w:hAnsi="David" w:cs="David" w:hint="cs"/>
          <w:sz w:val="24"/>
          <w:szCs w:val="24"/>
          <w:rtl/>
        </w:rPr>
        <w:t>כ</w:t>
      </w:r>
      <w:r w:rsidRPr="005F3228">
        <w:rPr>
          <w:rFonts w:ascii="David" w:hAnsi="David" w:cs="David"/>
          <w:sz w:val="24"/>
          <w:szCs w:val="24"/>
          <w:rtl/>
        </w:rPr>
        <w:t xml:space="preserve">מוגזמים. המחקר שתואר במאמר זה </w:t>
      </w:r>
      <w:r w:rsidR="00713881" w:rsidRPr="005F3228">
        <w:rPr>
          <w:rFonts w:ascii="David" w:hAnsi="David" w:cs="David" w:hint="cs"/>
          <w:sz w:val="24"/>
          <w:szCs w:val="24"/>
          <w:rtl/>
        </w:rPr>
        <w:t>מצ</w:t>
      </w:r>
      <w:r w:rsidR="00891ECA" w:rsidRPr="005F3228">
        <w:rPr>
          <w:rFonts w:ascii="David" w:hAnsi="David" w:cs="David" w:hint="cs"/>
          <w:sz w:val="24"/>
          <w:szCs w:val="24"/>
          <w:rtl/>
        </w:rPr>
        <w:t>ב</w:t>
      </w:r>
      <w:r w:rsidR="00713881" w:rsidRPr="005F3228">
        <w:rPr>
          <w:rFonts w:ascii="David" w:hAnsi="David" w:cs="David" w:hint="cs"/>
          <w:sz w:val="24"/>
          <w:szCs w:val="24"/>
          <w:rtl/>
        </w:rPr>
        <w:t>יע על כך</w:t>
      </w:r>
      <w:r w:rsidRPr="005F3228">
        <w:rPr>
          <w:rFonts w:ascii="David" w:hAnsi="David" w:cs="David"/>
          <w:sz w:val="24"/>
          <w:szCs w:val="24"/>
          <w:rtl/>
        </w:rPr>
        <w:t xml:space="preserve"> </w:t>
      </w:r>
      <w:r w:rsidR="00713881" w:rsidRPr="005F3228">
        <w:rPr>
          <w:rFonts w:ascii="David" w:hAnsi="David" w:cs="David" w:hint="cs"/>
          <w:sz w:val="24"/>
          <w:szCs w:val="24"/>
          <w:rtl/>
        </w:rPr>
        <w:t>ש</w:t>
      </w:r>
      <w:r w:rsidRPr="005F3228">
        <w:rPr>
          <w:rFonts w:ascii="David" w:hAnsi="David" w:cs="David"/>
          <w:sz w:val="24"/>
          <w:szCs w:val="24"/>
          <w:rtl/>
        </w:rPr>
        <w:t xml:space="preserve">הלכת </w:t>
      </w:r>
      <w:proofErr w:type="spellStart"/>
      <w:r w:rsidRPr="005F3228">
        <w:rPr>
          <w:rFonts w:ascii="David" w:hAnsi="David" w:cs="David"/>
          <w:sz w:val="24"/>
          <w:szCs w:val="24"/>
          <w:rtl/>
        </w:rPr>
        <w:t>א.ש.י.ר</w:t>
      </w:r>
      <w:proofErr w:type="spellEnd"/>
      <w:r w:rsidRPr="005F3228">
        <w:rPr>
          <w:rFonts w:ascii="David" w:hAnsi="David" w:cs="David"/>
          <w:sz w:val="24"/>
          <w:szCs w:val="24"/>
          <w:rtl/>
        </w:rPr>
        <w:t xml:space="preserve">. לא הובילה לפריצת גבולות </w:t>
      </w:r>
      <w:r w:rsidR="0047225C" w:rsidRPr="005F3228">
        <w:rPr>
          <w:rFonts w:ascii="David" w:hAnsi="David" w:cs="David" w:hint="cs"/>
          <w:sz w:val="24"/>
          <w:szCs w:val="24"/>
          <w:rtl/>
        </w:rPr>
        <w:t xml:space="preserve">משמעותית </w:t>
      </w:r>
      <w:r w:rsidRPr="005F3228">
        <w:rPr>
          <w:rFonts w:ascii="David" w:hAnsi="David" w:cs="David"/>
          <w:sz w:val="24"/>
          <w:szCs w:val="24"/>
          <w:rtl/>
        </w:rPr>
        <w:t xml:space="preserve">של דיני הקניין הרוחני, וכי בתי המשפט עשו בה ככלל שימוש </w:t>
      </w:r>
      <w:r w:rsidR="00EB5B8A" w:rsidRPr="005F3228">
        <w:rPr>
          <w:rFonts w:ascii="David" w:hAnsi="David" w:cs="David" w:hint="cs"/>
          <w:sz w:val="24"/>
          <w:szCs w:val="24"/>
          <w:rtl/>
        </w:rPr>
        <w:t xml:space="preserve">מדוד </w:t>
      </w:r>
      <w:r w:rsidRPr="005F3228">
        <w:rPr>
          <w:rFonts w:ascii="David" w:hAnsi="David" w:cs="David"/>
          <w:sz w:val="24"/>
          <w:szCs w:val="24"/>
          <w:rtl/>
        </w:rPr>
        <w:t xml:space="preserve">כמכשיר ל"כיול" הדין ולמילוי חסרים, בהקשרים נקודתיים בהם גמישות כזאת </w:t>
      </w:r>
      <w:r w:rsidR="00FC1E81" w:rsidRPr="005F3228">
        <w:rPr>
          <w:rFonts w:ascii="David" w:hAnsi="David" w:cs="David" w:hint="cs"/>
          <w:sz w:val="24"/>
          <w:szCs w:val="24"/>
          <w:rtl/>
        </w:rPr>
        <w:t>נחוצה</w:t>
      </w:r>
      <w:r w:rsidRPr="005F3228">
        <w:rPr>
          <w:rFonts w:ascii="David" w:hAnsi="David" w:cs="David"/>
          <w:sz w:val="24"/>
          <w:szCs w:val="24"/>
          <w:rtl/>
        </w:rPr>
        <w:t xml:space="preserve">. </w:t>
      </w:r>
      <w:r w:rsidR="00C740E8" w:rsidRPr="005F3228">
        <w:rPr>
          <w:rFonts w:ascii="David" w:hAnsi="David" w:cs="David" w:hint="cs"/>
          <w:sz w:val="24"/>
          <w:szCs w:val="24"/>
          <w:rtl/>
        </w:rPr>
        <w:t xml:space="preserve">ממצאי המחקר עשויים לספק מידע חשוב </w:t>
      </w:r>
      <w:r w:rsidR="00A16B0D" w:rsidRPr="005F3228">
        <w:rPr>
          <w:rFonts w:ascii="David" w:hAnsi="David" w:cs="David" w:hint="cs"/>
          <w:sz w:val="24"/>
          <w:szCs w:val="24"/>
          <w:rtl/>
        </w:rPr>
        <w:t xml:space="preserve">הן </w:t>
      </w:r>
      <w:r w:rsidR="00C740E8" w:rsidRPr="005F3228">
        <w:rPr>
          <w:rFonts w:ascii="David" w:hAnsi="David" w:cs="David" w:hint="cs"/>
          <w:sz w:val="24"/>
          <w:szCs w:val="24"/>
          <w:rtl/>
        </w:rPr>
        <w:t>לקובעי מדיניות</w:t>
      </w:r>
      <w:r w:rsidR="00743AD8" w:rsidRPr="005F3228">
        <w:rPr>
          <w:rFonts w:ascii="David" w:hAnsi="David" w:cs="David" w:hint="cs"/>
          <w:sz w:val="24"/>
          <w:szCs w:val="24"/>
          <w:rtl/>
        </w:rPr>
        <w:t xml:space="preserve"> </w:t>
      </w:r>
      <w:r w:rsidR="00EB5B8A" w:rsidRPr="005F3228">
        <w:rPr>
          <w:rFonts w:ascii="David" w:hAnsi="David" w:cs="David" w:hint="cs"/>
          <w:sz w:val="24"/>
          <w:szCs w:val="24"/>
          <w:rtl/>
        </w:rPr>
        <w:t xml:space="preserve">והן לשחקנים בשווקים הרלוונטיים, </w:t>
      </w:r>
      <w:r w:rsidR="00A16B0D" w:rsidRPr="005F3228">
        <w:rPr>
          <w:rFonts w:ascii="David" w:hAnsi="David" w:cs="David" w:hint="cs"/>
          <w:sz w:val="24"/>
          <w:szCs w:val="24"/>
          <w:rtl/>
        </w:rPr>
        <w:t xml:space="preserve">ואנו מקווים שיגבירו </w:t>
      </w:r>
      <w:r w:rsidR="00EB5B8A" w:rsidRPr="005F3228">
        <w:rPr>
          <w:rFonts w:ascii="David" w:hAnsi="David" w:cs="David" w:hint="cs"/>
          <w:sz w:val="24"/>
          <w:szCs w:val="24"/>
          <w:rtl/>
        </w:rPr>
        <w:t>את הוודאות באשר ליחס שבין דיני עשיית עושר לבין דיני הקניין הרוחני.</w:t>
      </w:r>
      <w:r w:rsidR="00D51B78" w:rsidRPr="005F3228">
        <w:rPr>
          <w:rFonts w:ascii="David" w:hAnsi="David" w:cs="David" w:hint="cs"/>
          <w:sz w:val="24"/>
          <w:szCs w:val="24"/>
          <w:rtl/>
        </w:rPr>
        <w:t xml:space="preserve"> </w:t>
      </w:r>
    </w:p>
    <w:p w14:paraId="6573DC76" w14:textId="77777777" w:rsidR="00A16B0D" w:rsidRPr="005F3228" w:rsidRDefault="00EB5B8A" w:rsidP="00C740E8">
      <w:pPr>
        <w:spacing w:line="300" w:lineRule="exact"/>
        <w:jc w:val="both"/>
        <w:rPr>
          <w:rFonts w:ascii="David" w:hAnsi="David" w:cs="David"/>
          <w:sz w:val="24"/>
          <w:szCs w:val="24"/>
          <w:rtl/>
        </w:rPr>
      </w:pPr>
      <w:r w:rsidRPr="005F3228">
        <w:rPr>
          <w:rFonts w:ascii="David" w:hAnsi="David" w:cs="David" w:hint="cs"/>
          <w:sz w:val="24"/>
          <w:szCs w:val="24"/>
          <w:rtl/>
        </w:rPr>
        <w:t xml:space="preserve"> </w:t>
      </w:r>
    </w:p>
    <w:p w14:paraId="28DD9AEC" w14:textId="77777777" w:rsidR="00A16B0D" w:rsidRPr="005F3228" w:rsidRDefault="00A16B0D">
      <w:pPr>
        <w:bidi w:val="0"/>
        <w:rPr>
          <w:rFonts w:ascii="David" w:hAnsi="David" w:cs="David"/>
          <w:sz w:val="24"/>
          <w:szCs w:val="24"/>
          <w:rtl/>
        </w:rPr>
      </w:pPr>
      <w:r w:rsidRPr="005F3228">
        <w:rPr>
          <w:rFonts w:ascii="David" w:hAnsi="David" w:cs="David"/>
          <w:sz w:val="24"/>
          <w:szCs w:val="24"/>
          <w:rtl/>
        </w:rPr>
        <w:br w:type="page"/>
      </w:r>
    </w:p>
    <w:p w14:paraId="588D2A79" w14:textId="77777777" w:rsidR="00C740E8" w:rsidRPr="005F3228" w:rsidRDefault="00C740E8" w:rsidP="0047225C">
      <w:pPr>
        <w:spacing w:line="300" w:lineRule="exact"/>
        <w:jc w:val="both"/>
        <w:rPr>
          <w:rFonts w:ascii="David" w:hAnsi="David" w:cs="David"/>
          <w:sz w:val="24"/>
          <w:szCs w:val="24"/>
          <w:rtl/>
        </w:rPr>
      </w:pPr>
    </w:p>
    <w:p w14:paraId="3AA33C86" w14:textId="77777777" w:rsidR="00D740B4" w:rsidRPr="005F3228" w:rsidRDefault="00F215A5" w:rsidP="00F46569">
      <w:pPr>
        <w:pStyle w:val="Heading1"/>
        <w:spacing w:line="300" w:lineRule="exact"/>
        <w:rPr>
          <w:rFonts w:ascii="David" w:hAnsi="David" w:cs="David"/>
          <w:rtl/>
        </w:rPr>
      </w:pPr>
      <w:bookmarkStart w:id="60" w:name="_Toc28175983"/>
      <w:bookmarkStart w:id="61" w:name="_Toc28070290"/>
      <w:r w:rsidRPr="005F3228">
        <w:rPr>
          <w:rFonts w:ascii="David" w:hAnsi="David" w:cs="David"/>
          <w:rtl/>
        </w:rPr>
        <w:t xml:space="preserve">נספח א' – פרטים </w:t>
      </w:r>
      <w:r w:rsidR="00D740B4" w:rsidRPr="005F3228">
        <w:rPr>
          <w:rFonts w:ascii="David" w:hAnsi="David" w:cs="David" w:hint="cs"/>
          <w:rtl/>
        </w:rPr>
        <w:t>מתודולוגיים משלימים</w:t>
      </w:r>
      <w:bookmarkEnd w:id="60"/>
      <w:r w:rsidR="00D740B4" w:rsidRPr="005F3228">
        <w:rPr>
          <w:rFonts w:ascii="David" w:hAnsi="David" w:cs="David" w:hint="cs"/>
          <w:rtl/>
        </w:rPr>
        <w:t xml:space="preserve"> </w:t>
      </w:r>
    </w:p>
    <w:bookmarkEnd w:id="61"/>
    <w:p w14:paraId="2355AEFB" w14:textId="77777777" w:rsidR="00186782" w:rsidRPr="005F3228" w:rsidRDefault="00186782" w:rsidP="000B6405">
      <w:pPr>
        <w:spacing w:after="120" w:line="300" w:lineRule="exact"/>
        <w:ind w:left="26"/>
        <w:jc w:val="both"/>
        <w:rPr>
          <w:rFonts w:ascii="David" w:hAnsi="David" w:cs="David"/>
          <w:sz w:val="24"/>
          <w:szCs w:val="24"/>
          <w:rtl/>
        </w:rPr>
      </w:pPr>
      <w:r w:rsidRPr="005F3228">
        <w:rPr>
          <w:rFonts w:ascii="David" w:hAnsi="David" w:cs="David" w:hint="cs"/>
          <w:sz w:val="24"/>
          <w:szCs w:val="24"/>
          <w:rtl/>
        </w:rPr>
        <w:t xml:space="preserve">להלן פרטים משלימים אודות </w:t>
      </w:r>
      <w:r w:rsidR="000B6405" w:rsidRPr="005F3228">
        <w:rPr>
          <w:rFonts w:ascii="David" w:hAnsi="David" w:cs="David" w:hint="cs"/>
          <w:sz w:val="24"/>
          <w:szCs w:val="24"/>
          <w:rtl/>
        </w:rPr>
        <w:t xml:space="preserve">בנית מאגר המידע ואודות </w:t>
      </w:r>
      <w:r w:rsidRPr="005F3228">
        <w:rPr>
          <w:rFonts w:ascii="David" w:hAnsi="David" w:cs="David" w:hint="cs"/>
          <w:sz w:val="24"/>
          <w:szCs w:val="24"/>
          <w:rtl/>
        </w:rPr>
        <w:t xml:space="preserve">פסקי הדין וההחלטות </w:t>
      </w:r>
      <w:r w:rsidR="00E55777" w:rsidRPr="005F3228">
        <w:rPr>
          <w:rFonts w:ascii="David" w:hAnsi="David" w:cs="David" w:hint="cs"/>
          <w:sz w:val="24"/>
          <w:szCs w:val="24"/>
          <w:rtl/>
        </w:rPr>
        <w:t xml:space="preserve">שנכללו </w:t>
      </w:r>
      <w:r w:rsidRPr="005F3228">
        <w:rPr>
          <w:rFonts w:ascii="David" w:hAnsi="David" w:cs="David" w:hint="cs"/>
          <w:sz w:val="24"/>
          <w:szCs w:val="24"/>
          <w:rtl/>
        </w:rPr>
        <w:t>ב</w:t>
      </w:r>
      <w:r w:rsidR="000B6405" w:rsidRPr="005F3228">
        <w:rPr>
          <w:rFonts w:ascii="David" w:hAnsi="David" w:cs="David" w:hint="cs"/>
          <w:sz w:val="24"/>
          <w:szCs w:val="24"/>
          <w:rtl/>
        </w:rPr>
        <w:t>ו.</w:t>
      </w:r>
    </w:p>
    <w:p w14:paraId="2926A5E8" w14:textId="77777777" w:rsidR="00D11357" w:rsidRPr="005F3228" w:rsidRDefault="00713872" w:rsidP="002149B9">
      <w:pPr>
        <w:pStyle w:val="ListParagraph"/>
        <w:numPr>
          <w:ilvl w:val="0"/>
          <w:numId w:val="1"/>
        </w:numPr>
        <w:spacing w:after="0" w:line="300" w:lineRule="exact"/>
        <w:ind w:left="634"/>
        <w:jc w:val="both"/>
        <w:rPr>
          <w:rFonts w:ascii="David" w:hAnsi="David" w:cs="David"/>
          <w:sz w:val="24"/>
          <w:szCs w:val="24"/>
          <w:u w:val="single"/>
        </w:rPr>
      </w:pPr>
      <w:r w:rsidRPr="005F3228">
        <w:rPr>
          <w:rFonts w:ascii="David" w:hAnsi="David" w:cs="David" w:hint="cs"/>
          <w:sz w:val="24"/>
          <w:szCs w:val="24"/>
          <w:rtl/>
        </w:rPr>
        <w:t xml:space="preserve">לשם איתור החלטות פסקי הדין הרלבנטיים </w:t>
      </w:r>
      <w:r w:rsidR="00C535B2" w:rsidRPr="005F3228">
        <w:rPr>
          <w:rFonts w:ascii="David" w:hAnsi="David" w:cs="David"/>
          <w:sz w:val="24"/>
          <w:szCs w:val="24"/>
          <w:rtl/>
        </w:rPr>
        <w:t>ביצענו את החיפושים הבאים</w:t>
      </w:r>
      <w:r w:rsidRPr="005F3228">
        <w:rPr>
          <w:rFonts w:ascii="David" w:hAnsi="David" w:cs="David" w:hint="cs"/>
          <w:sz w:val="24"/>
          <w:szCs w:val="24"/>
          <w:rtl/>
        </w:rPr>
        <w:t xml:space="preserve"> ב"מאגר נבו"</w:t>
      </w:r>
      <w:r w:rsidR="00C535B2" w:rsidRPr="005F3228">
        <w:rPr>
          <w:rFonts w:ascii="David" w:hAnsi="David" w:cs="David"/>
          <w:sz w:val="24"/>
          <w:szCs w:val="24"/>
          <w:rtl/>
        </w:rPr>
        <w:t>:</w:t>
      </w:r>
      <w:r w:rsidR="00C535B2" w:rsidRPr="005F3228">
        <w:rPr>
          <w:rFonts w:ascii="David" w:hAnsi="David" w:cs="David" w:hint="cs"/>
          <w:sz w:val="24"/>
          <w:szCs w:val="24"/>
          <w:rtl/>
        </w:rPr>
        <w:t xml:space="preserve"> 1) </w:t>
      </w:r>
      <w:r w:rsidR="00C535B2" w:rsidRPr="005F3228">
        <w:rPr>
          <w:rFonts w:ascii="David" w:hAnsi="David" w:cs="David"/>
          <w:sz w:val="24"/>
          <w:szCs w:val="24"/>
          <w:rtl/>
        </w:rPr>
        <w:t xml:space="preserve">חיפוש אזכורים של פסק הדין בעניין </w:t>
      </w:r>
      <w:proofErr w:type="spellStart"/>
      <w:r w:rsidR="00C535B2" w:rsidRPr="005F3228">
        <w:rPr>
          <w:rFonts w:ascii="David" w:hAnsi="David" w:cs="David"/>
          <w:sz w:val="24"/>
          <w:szCs w:val="24"/>
          <w:rtl/>
        </w:rPr>
        <w:t>א.ש.י.ר</w:t>
      </w:r>
      <w:proofErr w:type="spellEnd"/>
      <w:r w:rsidR="00C535B2" w:rsidRPr="005F3228">
        <w:rPr>
          <w:rFonts w:ascii="David" w:hAnsi="David" w:cs="David"/>
          <w:sz w:val="24"/>
          <w:szCs w:val="24"/>
          <w:rtl/>
        </w:rPr>
        <w:t xml:space="preserve">. בפסיקה של בתי המשפט המחוזיים ובית המשפט העליון; </w:t>
      </w:r>
      <w:r w:rsidR="00C535B2" w:rsidRPr="005F3228">
        <w:rPr>
          <w:rFonts w:ascii="David" w:hAnsi="David" w:cs="David" w:hint="cs"/>
          <w:sz w:val="24"/>
          <w:szCs w:val="24"/>
          <w:rtl/>
        </w:rPr>
        <w:t xml:space="preserve">2) </w:t>
      </w:r>
      <w:r w:rsidR="00C535B2" w:rsidRPr="005F3228">
        <w:rPr>
          <w:rFonts w:ascii="David" w:hAnsi="David" w:cs="David"/>
          <w:sz w:val="24"/>
          <w:szCs w:val="24"/>
          <w:rtl/>
        </w:rPr>
        <w:t xml:space="preserve">חיפוש לפי שאילתות שכללו כל אחת את המונח "עשיית עושר" בשילוב עם אחד מן המונחים הבאים: "קניין רוחני", "פטנטים", "סימני מסחר", "מדגמים", "זכויות יוצרים", ו"זכויות מטפחים"; </w:t>
      </w:r>
      <w:r w:rsidR="00C535B2" w:rsidRPr="005F3228">
        <w:rPr>
          <w:rFonts w:ascii="David" w:hAnsi="David" w:cs="David" w:hint="cs"/>
          <w:sz w:val="24"/>
          <w:szCs w:val="24"/>
          <w:rtl/>
        </w:rPr>
        <w:t xml:space="preserve">3) </w:t>
      </w:r>
      <w:r w:rsidR="00C535B2" w:rsidRPr="005F3228">
        <w:rPr>
          <w:rFonts w:ascii="David" w:hAnsi="David" w:cs="David"/>
          <w:sz w:val="24"/>
          <w:szCs w:val="24"/>
          <w:rtl/>
        </w:rPr>
        <w:t xml:space="preserve">לגבי הליכים בהם אותרה החלטת ביניים אך לא אותר פסק דין סופי בדרכים שתוארו לעיל, נעשה חיפוש </w:t>
      </w:r>
      <w:r w:rsidR="00C535B2" w:rsidRPr="005F3228">
        <w:rPr>
          <w:rFonts w:ascii="David" w:hAnsi="David" w:cs="David" w:hint="cs"/>
          <w:sz w:val="24"/>
          <w:szCs w:val="24"/>
          <w:rtl/>
        </w:rPr>
        <w:t>מכוון</w:t>
      </w:r>
      <w:r w:rsidR="00C535B2" w:rsidRPr="005F3228">
        <w:rPr>
          <w:rFonts w:ascii="David" w:hAnsi="David" w:cs="David"/>
          <w:sz w:val="24"/>
          <w:szCs w:val="24"/>
          <w:rtl/>
        </w:rPr>
        <w:t xml:space="preserve"> </w:t>
      </w:r>
      <w:r w:rsidR="00C535B2" w:rsidRPr="005F3228">
        <w:rPr>
          <w:rFonts w:ascii="David" w:hAnsi="David" w:cs="David" w:hint="cs"/>
          <w:sz w:val="24"/>
          <w:szCs w:val="24"/>
          <w:rtl/>
        </w:rPr>
        <w:t xml:space="preserve">וממוקד </w:t>
      </w:r>
      <w:r w:rsidR="00C535B2" w:rsidRPr="005F3228">
        <w:rPr>
          <w:rFonts w:ascii="David" w:hAnsi="David" w:cs="David"/>
          <w:sz w:val="24"/>
          <w:szCs w:val="24"/>
          <w:rtl/>
        </w:rPr>
        <w:t xml:space="preserve">אחר פסק הדין הסופי;  </w:t>
      </w:r>
      <w:r w:rsidR="00C535B2" w:rsidRPr="005F3228">
        <w:rPr>
          <w:rFonts w:ascii="David" w:hAnsi="David" w:cs="David" w:hint="cs"/>
          <w:sz w:val="24"/>
          <w:szCs w:val="24"/>
          <w:rtl/>
        </w:rPr>
        <w:t xml:space="preserve">4) </w:t>
      </w:r>
      <w:r w:rsidR="00C535B2" w:rsidRPr="005F3228">
        <w:rPr>
          <w:rFonts w:ascii="David" w:hAnsi="David" w:cs="David"/>
          <w:sz w:val="24"/>
          <w:szCs w:val="24"/>
          <w:rtl/>
        </w:rPr>
        <w:t xml:space="preserve">לגבי פסקי דין של בית משפט מחוזי שלא אותר </w:t>
      </w:r>
      <w:r w:rsidR="00C535B2" w:rsidRPr="005F3228">
        <w:rPr>
          <w:rFonts w:ascii="David" w:hAnsi="David" w:cs="David" w:hint="cs"/>
          <w:sz w:val="24"/>
          <w:szCs w:val="24"/>
          <w:rtl/>
        </w:rPr>
        <w:t xml:space="preserve">לגביו </w:t>
      </w:r>
      <w:r w:rsidR="00C535B2" w:rsidRPr="005F3228">
        <w:rPr>
          <w:rFonts w:ascii="David" w:hAnsi="David" w:cs="David"/>
          <w:sz w:val="24"/>
          <w:szCs w:val="24"/>
          <w:rtl/>
        </w:rPr>
        <w:t xml:space="preserve">ערעור בבית המשפט העליון לגביהם בדרכים שתוארו לעיל, נעשה חיפוש </w:t>
      </w:r>
      <w:r w:rsidR="00C535B2" w:rsidRPr="005F3228">
        <w:rPr>
          <w:rFonts w:ascii="David" w:hAnsi="David" w:cs="David" w:hint="cs"/>
          <w:sz w:val="24"/>
          <w:szCs w:val="24"/>
          <w:rtl/>
        </w:rPr>
        <w:t>מכוון וממוקד</w:t>
      </w:r>
      <w:r w:rsidR="00C535B2" w:rsidRPr="005F3228">
        <w:rPr>
          <w:rFonts w:ascii="David" w:hAnsi="David" w:cs="David"/>
          <w:sz w:val="24"/>
          <w:szCs w:val="24"/>
          <w:rtl/>
        </w:rPr>
        <w:t xml:space="preserve"> אחר ערעור;  </w:t>
      </w:r>
      <w:r w:rsidR="00C535B2" w:rsidRPr="005F3228">
        <w:rPr>
          <w:rFonts w:ascii="David" w:hAnsi="David" w:cs="David" w:hint="cs"/>
          <w:sz w:val="24"/>
          <w:szCs w:val="24"/>
          <w:rtl/>
        </w:rPr>
        <w:t>5) ב</w:t>
      </w:r>
      <w:r w:rsidR="00C535B2" w:rsidRPr="005F3228">
        <w:rPr>
          <w:rFonts w:ascii="David" w:hAnsi="David" w:cs="David"/>
          <w:sz w:val="24"/>
          <w:szCs w:val="24"/>
          <w:rtl/>
        </w:rPr>
        <w:t xml:space="preserve">מקרים בהם אותר פסק דין של בית המשפט העליון בשבתו כערכאת ערעור אך לא אותר פסק דין של בית משפט מחוזי בדרכים שתוארו לעיל, נעשה חיפוש </w:t>
      </w:r>
      <w:r w:rsidR="00C535B2" w:rsidRPr="005F3228">
        <w:rPr>
          <w:rFonts w:ascii="David" w:hAnsi="David" w:cs="David" w:hint="cs"/>
          <w:sz w:val="24"/>
          <w:szCs w:val="24"/>
          <w:rtl/>
        </w:rPr>
        <w:t>מכוון וממוקד</w:t>
      </w:r>
      <w:r w:rsidR="00C535B2" w:rsidRPr="005F3228">
        <w:rPr>
          <w:rFonts w:ascii="David" w:hAnsi="David" w:cs="David"/>
          <w:sz w:val="24"/>
          <w:szCs w:val="24"/>
          <w:rtl/>
        </w:rPr>
        <w:t xml:space="preserve"> </w:t>
      </w:r>
      <w:r w:rsidR="00C535B2" w:rsidRPr="005F3228">
        <w:rPr>
          <w:rFonts w:ascii="David" w:hAnsi="David" w:cs="David" w:hint="cs"/>
          <w:sz w:val="24"/>
          <w:szCs w:val="24"/>
          <w:rtl/>
        </w:rPr>
        <w:t>אחר</w:t>
      </w:r>
      <w:r w:rsidR="00C535B2" w:rsidRPr="005F3228">
        <w:rPr>
          <w:rFonts w:ascii="David" w:hAnsi="David" w:cs="David"/>
          <w:sz w:val="24"/>
          <w:szCs w:val="24"/>
          <w:rtl/>
        </w:rPr>
        <w:t xml:space="preserve"> פסק הדין המחוזי הרלוונטי;</w:t>
      </w:r>
      <w:r w:rsidR="00C535B2" w:rsidRPr="005F3228">
        <w:rPr>
          <w:rFonts w:ascii="David" w:hAnsi="David" w:cs="David" w:hint="cs"/>
          <w:sz w:val="24"/>
          <w:szCs w:val="24"/>
          <w:rtl/>
        </w:rPr>
        <w:t xml:space="preserve">  ו-6)</w:t>
      </w:r>
      <w:r w:rsidR="00C535B2" w:rsidRPr="005F3228">
        <w:rPr>
          <w:rFonts w:ascii="David" w:hAnsi="David" w:cs="David"/>
          <w:sz w:val="24"/>
          <w:szCs w:val="24"/>
          <w:rtl/>
        </w:rPr>
        <w:t xml:space="preserve"> נעשה חיפוש יזום אחר פסקי דין ספורים שלא אותרו באף אחת מן הדרכים האמורות,</w:t>
      </w:r>
      <w:r w:rsidR="00C535B2" w:rsidRPr="005F3228">
        <w:rPr>
          <w:rFonts w:ascii="David" w:hAnsi="David" w:cs="David" w:hint="cs"/>
          <w:sz w:val="24"/>
          <w:szCs w:val="24"/>
          <w:rtl/>
        </w:rPr>
        <w:t xml:space="preserve"> </w:t>
      </w:r>
      <w:r w:rsidR="00C535B2" w:rsidRPr="005F3228">
        <w:rPr>
          <w:rFonts w:ascii="David" w:hAnsi="David" w:cs="David"/>
          <w:sz w:val="24"/>
          <w:szCs w:val="24"/>
          <w:rtl/>
        </w:rPr>
        <w:t xml:space="preserve">אך היה ברשותנו ידע קודם על קיומם. </w:t>
      </w:r>
      <w:r w:rsidR="00C535B2" w:rsidRPr="005F3228">
        <w:rPr>
          <w:rFonts w:ascii="David" w:hAnsi="David" w:cs="David" w:hint="cs"/>
          <w:sz w:val="24"/>
          <w:szCs w:val="24"/>
          <w:rtl/>
        </w:rPr>
        <w:t xml:space="preserve">7) נוסף על אלה, לאחר שהתקבלו ממצאים ראשוניים באשר לכינון "הזכות לפרסום" במשפט הישראלי בפסק הדין בעניין </w:t>
      </w:r>
      <w:r w:rsidR="00C535B2" w:rsidRPr="005F3228">
        <w:rPr>
          <w:rFonts w:ascii="David" w:hAnsi="David" w:cs="David" w:hint="cs"/>
          <w:b/>
          <w:bCs/>
          <w:sz w:val="24"/>
          <w:szCs w:val="24"/>
          <w:rtl/>
        </w:rPr>
        <w:t>מקדונלד</w:t>
      </w:r>
      <w:r w:rsidR="00C535B2" w:rsidRPr="005F3228">
        <w:rPr>
          <w:rFonts w:ascii="David" w:hAnsi="David" w:cs="David" w:hint="cs"/>
          <w:sz w:val="24"/>
          <w:szCs w:val="24"/>
          <w:rtl/>
        </w:rPr>
        <w:t xml:space="preserve"> וליחס שבין זכות זו לבין דיני עשיית עושר ולא במשפט ופסק דין </w:t>
      </w:r>
      <w:proofErr w:type="spellStart"/>
      <w:r w:rsidR="00C535B2" w:rsidRPr="005F3228">
        <w:rPr>
          <w:rFonts w:ascii="David" w:hAnsi="David" w:cs="David" w:hint="cs"/>
          <w:sz w:val="24"/>
          <w:szCs w:val="24"/>
          <w:rtl/>
        </w:rPr>
        <w:t>א.ש.י.ר</w:t>
      </w:r>
      <w:proofErr w:type="spellEnd"/>
      <w:r w:rsidR="00C535B2" w:rsidRPr="005F3228">
        <w:rPr>
          <w:rFonts w:ascii="David" w:hAnsi="David" w:cs="David" w:hint="cs"/>
          <w:sz w:val="24"/>
          <w:szCs w:val="24"/>
          <w:rtl/>
        </w:rPr>
        <w:t>. (כמוסבר ל</w:t>
      </w:r>
      <w:r w:rsidR="00A63831" w:rsidRPr="005F3228">
        <w:rPr>
          <w:rFonts w:ascii="David" w:hAnsi="David" w:cs="David" w:hint="cs"/>
          <w:sz w:val="24"/>
          <w:szCs w:val="24"/>
          <w:rtl/>
        </w:rPr>
        <w:t>עיל</w:t>
      </w:r>
      <w:r w:rsidR="00C535B2" w:rsidRPr="005F3228">
        <w:rPr>
          <w:rFonts w:ascii="David" w:hAnsi="David" w:cs="David" w:hint="cs"/>
          <w:sz w:val="24"/>
          <w:szCs w:val="24"/>
          <w:rtl/>
        </w:rPr>
        <w:t>)</w:t>
      </w:r>
      <w:r w:rsidR="00C535B2" w:rsidRPr="005F3228">
        <w:rPr>
          <w:rStyle w:val="FootnoteReference"/>
          <w:rFonts w:ascii="David" w:hAnsi="David" w:cs="David"/>
          <w:sz w:val="24"/>
          <w:szCs w:val="24"/>
          <w:rtl/>
        </w:rPr>
        <w:footnoteReference w:id="145"/>
      </w:r>
      <w:r w:rsidR="00C535B2" w:rsidRPr="005F3228">
        <w:rPr>
          <w:rFonts w:ascii="David" w:hAnsi="David" w:cs="David" w:hint="cs"/>
          <w:sz w:val="24"/>
          <w:szCs w:val="24"/>
          <w:rtl/>
        </w:rPr>
        <w:t xml:space="preserve"> נעשה חיפוש ממוקד גם אחר פסקי דין של בתי משפט מחוזיים ובית המשפט העליון שמאזכרים את פסק הדין בעניין </w:t>
      </w:r>
      <w:r w:rsidR="00C535B2" w:rsidRPr="005F3228">
        <w:rPr>
          <w:rFonts w:ascii="David" w:hAnsi="David" w:cs="David" w:hint="cs"/>
          <w:b/>
          <w:bCs/>
          <w:sz w:val="24"/>
          <w:szCs w:val="24"/>
          <w:rtl/>
        </w:rPr>
        <w:t xml:space="preserve">מקדונלד </w:t>
      </w:r>
      <w:r w:rsidR="00C535B2" w:rsidRPr="005F3228">
        <w:rPr>
          <w:rFonts w:ascii="David" w:hAnsi="David" w:cs="David" w:hint="cs"/>
          <w:sz w:val="24"/>
          <w:szCs w:val="24"/>
          <w:rtl/>
        </w:rPr>
        <w:t xml:space="preserve">וכוללים את המונח "הזכות לפרסום". </w:t>
      </w:r>
    </w:p>
    <w:p w14:paraId="4AB77D23" w14:textId="77777777" w:rsidR="002149B9" w:rsidRPr="005F3228" w:rsidRDefault="002149B9" w:rsidP="002149B9">
      <w:pPr>
        <w:spacing w:after="0" w:line="300" w:lineRule="exact"/>
        <w:jc w:val="both"/>
        <w:rPr>
          <w:rFonts w:ascii="David" w:hAnsi="David" w:cs="David"/>
          <w:sz w:val="24"/>
          <w:szCs w:val="24"/>
          <w:u w:val="single"/>
        </w:rPr>
      </w:pPr>
    </w:p>
    <w:p w14:paraId="7C4888F8" w14:textId="77777777" w:rsidR="0081271B" w:rsidRPr="005F3228" w:rsidRDefault="006F3C0A" w:rsidP="00B83BF0">
      <w:pPr>
        <w:pStyle w:val="ListParagraph"/>
        <w:numPr>
          <w:ilvl w:val="0"/>
          <w:numId w:val="1"/>
        </w:numPr>
        <w:spacing w:before="120" w:after="120" w:line="300" w:lineRule="exact"/>
        <w:jc w:val="both"/>
        <w:rPr>
          <w:rFonts w:ascii="David" w:hAnsi="David" w:cs="David"/>
          <w:sz w:val="24"/>
          <w:szCs w:val="24"/>
        </w:rPr>
      </w:pPr>
      <w:r w:rsidRPr="005F3228">
        <w:rPr>
          <w:rFonts w:ascii="David" w:hAnsi="David" w:cs="David" w:hint="cs"/>
          <w:sz w:val="24"/>
          <w:szCs w:val="24"/>
          <w:rtl/>
        </w:rPr>
        <w:t xml:space="preserve">בתביעות הנוגעות לחיקוי תוצר רוחני נעשה לעתים שימוש גם </w:t>
      </w:r>
      <w:r w:rsidR="00661E95" w:rsidRPr="005F3228">
        <w:rPr>
          <w:rFonts w:ascii="David" w:hAnsi="David" w:cs="David" w:hint="cs"/>
          <w:sz w:val="24"/>
          <w:szCs w:val="24"/>
          <w:rtl/>
        </w:rPr>
        <w:t>ב</w:t>
      </w:r>
      <w:r w:rsidR="0081271B" w:rsidRPr="005F3228">
        <w:rPr>
          <w:rFonts w:ascii="David" w:hAnsi="David" w:cs="David"/>
          <w:sz w:val="24"/>
          <w:szCs w:val="24"/>
          <w:rtl/>
        </w:rPr>
        <w:t>ע</w:t>
      </w:r>
      <w:r w:rsidR="0081271B" w:rsidRPr="005F3228">
        <w:rPr>
          <w:rFonts w:ascii="David" w:hAnsi="David" w:cs="David" w:hint="cs"/>
          <w:sz w:val="24"/>
          <w:szCs w:val="24"/>
          <w:rtl/>
        </w:rPr>
        <w:t>וו</w:t>
      </w:r>
      <w:r w:rsidR="0081271B" w:rsidRPr="005F3228">
        <w:rPr>
          <w:rFonts w:ascii="David" w:hAnsi="David" w:cs="David"/>
          <w:sz w:val="24"/>
          <w:szCs w:val="24"/>
          <w:rtl/>
        </w:rPr>
        <w:t>ל</w:t>
      </w:r>
      <w:r w:rsidR="00661E95" w:rsidRPr="005F3228">
        <w:rPr>
          <w:rFonts w:ascii="David" w:hAnsi="David" w:cs="David" w:hint="cs"/>
          <w:sz w:val="24"/>
          <w:szCs w:val="24"/>
          <w:rtl/>
        </w:rPr>
        <w:t>ה הנזיקית "</w:t>
      </w:r>
      <w:r w:rsidR="0081271B" w:rsidRPr="005F3228">
        <w:rPr>
          <w:rFonts w:ascii="David" w:hAnsi="David" w:cs="David"/>
          <w:sz w:val="24"/>
          <w:szCs w:val="24"/>
          <w:rtl/>
        </w:rPr>
        <w:t>גניבת עין</w:t>
      </w:r>
      <w:r w:rsidR="00661E95" w:rsidRPr="005F3228">
        <w:rPr>
          <w:rFonts w:ascii="David" w:hAnsi="David" w:cs="David" w:hint="cs"/>
          <w:sz w:val="24"/>
          <w:szCs w:val="24"/>
          <w:rtl/>
        </w:rPr>
        <w:t>"</w:t>
      </w:r>
      <w:r w:rsidR="0081271B" w:rsidRPr="005F3228">
        <w:rPr>
          <w:rFonts w:ascii="David" w:hAnsi="David" w:cs="David" w:hint="cs"/>
          <w:sz w:val="24"/>
          <w:szCs w:val="24"/>
          <w:rtl/>
        </w:rPr>
        <w:t>,</w:t>
      </w:r>
      <w:r w:rsidRPr="005F3228">
        <w:rPr>
          <w:rFonts w:ascii="David" w:hAnsi="David" w:cs="David" w:hint="cs"/>
          <w:sz w:val="24"/>
          <w:szCs w:val="24"/>
          <w:rtl/>
        </w:rPr>
        <w:t xml:space="preserve"> שעניינה הגנה על מוניטין</w:t>
      </w:r>
      <w:r w:rsidR="00661E95" w:rsidRPr="005F3228">
        <w:rPr>
          <w:rFonts w:ascii="David" w:hAnsi="David" w:cs="David" w:hint="cs"/>
          <w:sz w:val="24"/>
          <w:szCs w:val="24"/>
          <w:rtl/>
        </w:rPr>
        <w:t>.</w:t>
      </w:r>
      <w:r w:rsidRPr="005F3228">
        <w:rPr>
          <w:rStyle w:val="FootnoteReference"/>
          <w:rFonts w:ascii="David" w:hAnsi="David" w:cs="David"/>
          <w:sz w:val="24"/>
          <w:szCs w:val="24"/>
          <w:rtl/>
        </w:rPr>
        <w:footnoteReference w:id="146"/>
      </w:r>
      <w:r w:rsidR="00661E95" w:rsidRPr="005F3228">
        <w:rPr>
          <w:rFonts w:ascii="David" w:hAnsi="David" w:cs="David" w:hint="cs"/>
          <w:sz w:val="24"/>
          <w:szCs w:val="24"/>
          <w:rtl/>
        </w:rPr>
        <w:t xml:space="preserve"> </w:t>
      </w:r>
      <w:r w:rsidR="00B83BF0" w:rsidRPr="005F3228">
        <w:rPr>
          <w:rFonts w:ascii="David" w:hAnsi="David" w:cs="David" w:hint="cs"/>
          <w:sz w:val="24"/>
          <w:szCs w:val="24"/>
          <w:rtl/>
        </w:rPr>
        <w:t xml:space="preserve"> </w:t>
      </w:r>
      <w:r w:rsidR="00661E95" w:rsidRPr="005F3228">
        <w:rPr>
          <w:rFonts w:ascii="David" w:hAnsi="David" w:cs="David" w:hint="cs"/>
          <w:sz w:val="24"/>
          <w:szCs w:val="24"/>
          <w:rtl/>
        </w:rPr>
        <w:t xml:space="preserve">עוולה זו מהווה, במידה רבה, מקור משלים לדיני הקניין הרוחני להגנה מפני חיקויים. נוכח </w:t>
      </w:r>
      <w:r w:rsidR="00F03271" w:rsidRPr="005F3228">
        <w:rPr>
          <w:rFonts w:ascii="David" w:hAnsi="David" w:cs="David" w:hint="cs"/>
          <w:sz w:val="24"/>
          <w:szCs w:val="24"/>
          <w:rtl/>
        </w:rPr>
        <w:t xml:space="preserve">נקודות ההשקה </w:t>
      </w:r>
      <w:r w:rsidR="00661E95" w:rsidRPr="005F3228">
        <w:rPr>
          <w:rFonts w:ascii="David" w:hAnsi="David" w:cs="David" w:hint="cs"/>
          <w:sz w:val="24"/>
          <w:szCs w:val="24"/>
          <w:rtl/>
        </w:rPr>
        <w:t xml:space="preserve">בין התחומים, </w:t>
      </w:r>
      <w:r w:rsidR="00B83BF0" w:rsidRPr="005F3228">
        <w:rPr>
          <w:rFonts w:ascii="David" w:hAnsi="David" w:cs="David" w:hint="cs"/>
          <w:sz w:val="24"/>
          <w:szCs w:val="24"/>
          <w:rtl/>
        </w:rPr>
        <w:t>כללנו</w:t>
      </w:r>
      <w:r w:rsidR="00661E95" w:rsidRPr="005F3228">
        <w:rPr>
          <w:rFonts w:ascii="David" w:hAnsi="David" w:cs="David" w:hint="cs"/>
          <w:sz w:val="24"/>
          <w:szCs w:val="24"/>
          <w:rtl/>
        </w:rPr>
        <w:t xml:space="preserve"> במאגר </w:t>
      </w:r>
      <w:r w:rsidRPr="005F3228">
        <w:rPr>
          <w:rFonts w:ascii="David" w:hAnsi="David" w:cs="David" w:hint="cs"/>
          <w:sz w:val="24"/>
          <w:szCs w:val="24"/>
          <w:rtl/>
        </w:rPr>
        <w:t xml:space="preserve">גם מקרים בהם </w:t>
      </w:r>
      <w:r w:rsidR="00661E95" w:rsidRPr="005F3228">
        <w:rPr>
          <w:rFonts w:ascii="David" w:hAnsi="David" w:cs="David" w:hint="cs"/>
          <w:sz w:val="24"/>
          <w:szCs w:val="24"/>
          <w:rtl/>
        </w:rPr>
        <w:t xml:space="preserve">הטענה לעשיית עושר הופיעה לצד טענה לגניבת עין, וזאת בין אם הועלתה בנוסף לכך טענה להפרת זכות קניין רוחני ובין אם לאו. </w:t>
      </w:r>
      <w:r w:rsidR="0010633A" w:rsidRPr="005F3228">
        <w:rPr>
          <w:rFonts w:ascii="David" w:hAnsi="David" w:cs="David" w:hint="cs"/>
          <w:sz w:val="24"/>
          <w:szCs w:val="24"/>
          <w:rtl/>
        </w:rPr>
        <w:t xml:space="preserve">לצורך סיווג המקרים לקטגוריות השונות, התייחסנו אל העילה בגניבת עין כאל עילה בקניין רוחני. בהתאם לכך, </w:t>
      </w:r>
      <w:r w:rsidR="00A257EB" w:rsidRPr="005F3228">
        <w:rPr>
          <w:rFonts w:ascii="David" w:hAnsi="David" w:cs="David" w:hint="cs"/>
          <w:sz w:val="24"/>
          <w:szCs w:val="24"/>
          <w:rtl/>
        </w:rPr>
        <w:t xml:space="preserve">במקרים </w:t>
      </w:r>
      <w:r w:rsidR="00D6405B" w:rsidRPr="005F3228">
        <w:rPr>
          <w:rFonts w:ascii="David" w:hAnsi="David" w:cs="David" w:hint="cs"/>
          <w:sz w:val="24"/>
          <w:szCs w:val="24"/>
          <w:rtl/>
        </w:rPr>
        <w:t>שבהם הועלו הן טענ</w:t>
      </w:r>
      <w:r w:rsidR="0010633A" w:rsidRPr="005F3228">
        <w:rPr>
          <w:rFonts w:ascii="David" w:hAnsi="David" w:cs="David" w:hint="cs"/>
          <w:sz w:val="24"/>
          <w:szCs w:val="24"/>
          <w:rtl/>
        </w:rPr>
        <w:t>ות</w:t>
      </w:r>
      <w:r w:rsidR="00D6405B" w:rsidRPr="005F3228">
        <w:rPr>
          <w:rFonts w:ascii="David" w:hAnsi="David" w:cs="David" w:hint="cs"/>
          <w:sz w:val="24"/>
          <w:szCs w:val="24"/>
          <w:rtl/>
        </w:rPr>
        <w:t xml:space="preserve"> לגניבת עין והן טענ</w:t>
      </w:r>
      <w:r w:rsidR="0010633A" w:rsidRPr="005F3228">
        <w:rPr>
          <w:rFonts w:ascii="David" w:hAnsi="David" w:cs="David" w:hint="cs"/>
          <w:sz w:val="24"/>
          <w:szCs w:val="24"/>
          <w:rtl/>
        </w:rPr>
        <w:t>ות</w:t>
      </w:r>
      <w:r w:rsidR="00D6405B" w:rsidRPr="005F3228">
        <w:rPr>
          <w:rFonts w:ascii="David" w:hAnsi="David" w:cs="David" w:hint="cs"/>
          <w:sz w:val="24"/>
          <w:szCs w:val="24"/>
          <w:rtl/>
        </w:rPr>
        <w:t xml:space="preserve"> להפרת קניין רוחני</w:t>
      </w:r>
      <w:r w:rsidR="0010633A" w:rsidRPr="005F3228">
        <w:rPr>
          <w:rFonts w:ascii="David" w:hAnsi="David" w:cs="David" w:hint="cs"/>
          <w:sz w:val="24"/>
          <w:szCs w:val="24"/>
          <w:rtl/>
        </w:rPr>
        <w:t xml:space="preserve">, אם לא התקיימה עילת תביעה מכוח דיני קניין רוחני אך </w:t>
      </w:r>
      <w:proofErr w:type="spellStart"/>
      <w:r w:rsidR="0010633A" w:rsidRPr="005F3228">
        <w:rPr>
          <w:rFonts w:ascii="David" w:hAnsi="David" w:cs="David" w:hint="cs"/>
          <w:sz w:val="24"/>
          <w:szCs w:val="24"/>
          <w:rtl/>
        </w:rPr>
        <w:t>התתקיימה</w:t>
      </w:r>
      <w:proofErr w:type="spellEnd"/>
      <w:r w:rsidR="0010633A" w:rsidRPr="005F3228">
        <w:rPr>
          <w:rFonts w:ascii="David" w:hAnsi="David" w:cs="David" w:hint="cs"/>
          <w:sz w:val="24"/>
          <w:szCs w:val="24"/>
          <w:rtl/>
        </w:rPr>
        <w:t xml:space="preserve"> עילה בגניבת עין, התייחסנו למקרה כאל כזה בו התקבלה עילה בקניין רוחני. </w:t>
      </w:r>
      <w:r w:rsidR="0081271B" w:rsidRPr="005F3228">
        <w:rPr>
          <w:rFonts w:ascii="David" w:hAnsi="David" w:cs="David"/>
          <w:sz w:val="24"/>
          <w:szCs w:val="24"/>
          <w:rtl/>
        </w:rPr>
        <w:t>במקרים בהם התק</w:t>
      </w:r>
      <w:r w:rsidR="0081271B" w:rsidRPr="005F3228">
        <w:rPr>
          <w:rFonts w:ascii="David" w:hAnsi="David" w:cs="David" w:hint="cs"/>
          <w:sz w:val="24"/>
          <w:szCs w:val="24"/>
          <w:rtl/>
        </w:rPr>
        <w:t>בלה</w:t>
      </w:r>
      <w:r w:rsidR="0081271B" w:rsidRPr="005F3228">
        <w:rPr>
          <w:rFonts w:ascii="David" w:hAnsi="David" w:cs="David"/>
          <w:sz w:val="24"/>
          <w:szCs w:val="24"/>
          <w:rtl/>
        </w:rPr>
        <w:t xml:space="preserve"> </w:t>
      </w:r>
      <w:r w:rsidR="0081271B" w:rsidRPr="005F3228">
        <w:rPr>
          <w:rFonts w:ascii="David" w:hAnsi="David" w:cs="David" w:hint="cs"/>
          <w:sz w:val="24"/>
          <w:szCs w:val="24"/>
          <w:rtl/>
        </w:rPr>
        <w:t>ה</w:t>
      </w:r>
      <w:r w:rsidR="0081271B" w:rsidRPr="005F3228">
        <w:rPr>
          <w:rFonts w:ascii="David" w:hAnsi="David" w:cs="David"/>
          <w:sz w:val="24"/>
          <w:szCs w:val="24"/>
          <w:rtl/>
        </w:rPr>
        <w:t>תביעה מכוח דיני קניין רוחני, קיומה (או היעדרה) של עילה בגניבת עין לא השפיע על סיווג פסק הדין.</w:t>
      </w:r>
    </w:p>
    <w:p w14:paraId="05BB8975" w14:textId="77777777" w:rsidR="002149B9" w:rsidRPr="005F3228" w:rsidRDefault="002149B9" w:rsidP="002149B9">
      <w:pPr>
        <w:spacing w:after="0" w:line="300" w:lineRule="exact"/>
        <w:jc w:val="both"/>
        <w:rPr>
          <w:rFonts w:ascii="David" w:hAnsi="David" w:cs="David"/>
          <w:sz w:val="24"/>
          <w:szCs w:val="24"/>
          <w:u w:val="single"/>
        </w:rPr>
      </w:pPr>
    </w:p>
    <w:p w14:paraId="06950E9F" w14:textId="77777777" w:rsidR="00186782" w:rsidRPr="005F3228" w:rsidRDefault="00186782" w:rsidP="002149B9">
      <w:pPr>
        <w:pStyle w:val="ListParagraph"/>
        <w:numPr>
          <w:ilvl w:val="0"/>
          <w:numId w:val="1"/>
        </w:numPr>
        <w:spacing w:after="0" w:line="300" w:lineRule="exact"/>
        <w:ind w:left="634"/>
        <w:jc w:val="both"/>
        <w:rPr>
          <w:rFonts w:ascii="David" w:hAnsi="David" w:cs="David"/>
          <w:sz w:val="24"/>
          <w:szCs w:val="24"/>
          <w:u w:val="single"/>
        </w:rPr>
      </w:pPr>
      <w:r w:rsidRPr="005F3228">
        <w:rPr>
          <w:rFonts w:ascii="David" w:hAnsi="David" w:cs="David" w:hint="cs"/>
          <w:sz w:val="24"/>
          <w:szCs w:val="24"/>
          <w:rtl/>
        </w:rPr>
        <w:t xml:space="preserve">לא נכללו במאגר </w:t>
      </w:r>
      <w:r w:rsidR="00F215A5" w:rsidRPr="005F3228">
        <w:rPr>
          <w:rFonts w:ascii="David" w:hAnsi="David" w:cs="David"/>
          <w:sz w:val="24"/>
          <w:szCs w:val="24"/>
          <w:rtl/>
        </w:rPr>
        <w:t>החלטות של בית המשפט העליון על אי מתן רשות ערעור או דחייה של בקשה לדיון נוסף, שלא כללו דיון מהותי אלא רק קביעה כי אין מקום לדון בעניין פעם</w:t>
      </w:r>
      <w:r w:rsidRPr="005F3228">
        <w:rPr>
          <w:rFonts w:ascii="David" w:hAnsi="David" w:cs="David" w:hint="cs"/>
          <w:sz w:val="24"/>
          <w:szCs w:val="24"/>
          <w:rtl/>
        </w:rPr>
        <w:t xml:space="preserve"> נוספת</w:t>
      </w:r>
      <w:r w:rsidR="00F215A5" w:rsidRPr="005F3228">
        <w:rPr>
          <w:rFonts w:ascii="David" w:hAnsi="David" w:cs="David"/>
          <w:sz w:val="24"/>
          <w:szCs w:val="24"/>
          <w:rtl/>
        </w:rPr>
        <w:t>, כמו גם פסקי דין של בית המשפט העליון שלא התקיים בהם דיון מהותי בקניין רוחני או בעשיית עושר מסיבות אחרות (על-פי-רוב, כאשר הערעור הוגש ביחס לרכיבים אחרים בפסק הדין של בית המשפט המחוזי)</w:t>
      </w:r>
      <w:r w:rsidRPr="005F3228">
        <w:rPr>
          <w:rFonts w:ascii="David" w:hAnsi="David" w:cs="David" w:hint="cs"/>
          <w:sz w:val="24"/>
          <w:szCs w:val="24"/>
          <w:rtl/>
        </w:rPr>
        <w:t>.</w:t>
      </w:r>
      <w:r w:rsidR="00F215A5" w:rsidRPr="005F3228">
        <w:rPr>
          <w:rFonts w:ascii="David" w:hAnsi="David" w:cs="David"/>
          <w:sz w:val="24"/>
          <w:szCs w:val="24"/>
          <w:rtl/>
        </w:rPr>
        <w:t xml:space="preserve"> </w:t>
      </w:r>
    </w:p>
    <w:p w14:paraId="1F5E9752" w14:textId="77777777" w:rsidR="002149B9" w:rsidRPr="005F3228" w:rsidRDefault="002149B9" w:rsidP="002149B9">
      <w:pPr>
        <w:spacing w:after="0" w:line="300" w:lineRule="exact"/>
        <w:jc w:val="both"/>
        <w:rPr>
          <w:rFonts w:ascii="David" w:hAnsi="David" w:cs="David"/>
          <w:sz w:val="24"/>
          <w:szCs w:val="24"/>
          <w:u w:val="single"/>
        </w:rPr>
      </w:pPr>
    </w:p>
    <w:p w14:paraId="0ADFE90D" w14:textId="77777777" w:rsidR="00F215A5" w:rsidRPr="005F3228" w:rsidRDefault="00186782" w:rsidP="009C26C5">
      <w:pPr>
        <w:pStyle w:val="ListParagraph"/>
        <w:numPr>
          <w:ilvl w:val="0"/>
          <w:numId w:val="1"/>
        </w:numPr>
        <w:spacing w:after="0" w:line="300" w:lineRule="exact"/>
        <w:ind w:left="634"/>
        <w:jc w:val="both"/>
        <w:rPr>
          <w:rFonts w:ascii="David" w:hAnsi="David" w:cs="David"/>
          <w:sz w:val="24"/>
          <w:szCs w:val="24"/>
          <w:u w:val="single"/>
          <w:rtl/>
        </w:rPr>
      </w:pPr>
      <w:r w:rsidRPr="005F3228">
        <w:rPr>
          <w:rFonts w:ascii="David" w:hAnsi="David" w:cs="David"/>
          <w:sz w:val="24"/>
          <w:szCs w:val="24"/>
          <w:rtl/>
        </w:rPr>
        <w:t>פסיקה על דרך הפשרה (לפי סעיף 79א לחוק בתי המשפט [נוסח משולב], תשמ"ד-1984</w:t>
      </w:r>
      <w:r w:rsidRPr="005F3228">
        <w:rPr>
          <w:rFonts w:ascii="David" w:hAnsi="David" w:cs="David" w:hint="cs"/>
          <w:sz w:val="24"/>
          <w:szCs w:val="24"/>
          <w:rtl/>
        </w:rPr>
        <w:t xml:space="preserve"> נכללה במאגר</w:t>
      </w:r>
      <w:r w:rsidRPr="005F3228">
        <w:rPr>
          <w:rFonts w:ascii="David" w:hAnsi="David" w:cs="David"/>
          <w:sz w:val="24"/>
          <w:szCs w:val="24"/>
          <w:rtl/>
        </w:rPr>
        <w:t xml:space="preserve"> במ</w:t>
      </w:r>
      <w:r w:rsidRPr="005F3228">
        <w:rPr>
          <w:rFonts w:ascii="David" w:hAnsi="David" w:cs="David" w:hint="cs"/>
          <w:sz w:val="24"/>
          <w:szCs w:val="24"/>
          <w:rtl/>
        </w:rPr>
        <w:t>קרים בהם</w:t>
      </w:r>
      <w:r w:rsidRPr="005F3228">
        <w:rPr>
          <w:rFonts w:ascii="David" w:hAnsi="David" w:cs="David"/>
          <w:sz w:val="24"/>
          <w:szCs w:val="24"/>
          <w:rtl/>
        </w:rPr>
        <w:t xml:space="preserve"> ניתן היה לחלץ </w:t>
      </w:r>
      <w:r w:rsidRPr="005F3228">
        <w:rPr>
          <w:rFonts w:ascii="David" w:hAnsi="David" w:cs="David" w:hint="cs"/>
          <w:sz w:val="24"/>
          <w:szCs w:val="24"/>
          <w:rtl/>
        </w:rPr>
        <w:t>ממנה</w:t>
      </w:r>
      <w:r w:rsidRPr="005F3228">
        <w:rPr>
          <w:rFonts w:ascii="David" w:hAnsi="David" w:cs="David"/>
          <w:sz w:val="24"/>
          <w:szCs w:val="24"/>
          <w:rtl/>
        </w:rPr>
        <w:t xml:space="preserve"> את הבסיס המשפטי להכרעה.</w:t>
      </w:r>
      <w:r w:rsidR="00F215A5" w:rsidRPr="005F3228">
        <w:rPr>
          <w:rFonts w:ascii="David" w:hAnsi="David" w:cs="David"/>
          <w:sz w:val="24"/>
          <w:szCs w:val="24"/>
          <w:rtl/>
        </w:rPr>
        <w:t xml:space="preserve">   </w:t>
      </w:r>
    </w:p>
    <w:p w14:paraId="4AFC5D68" w14:textId="77777777" w:rsidR="00F215A5" w:rsidRPr="006D1549" w:rsidRDefault="00F215A5" w:rsidP="00F215A5">
      <w:pPr>
        <w:bidi w:val="0"/>
        <w:spacing w:line="300" w:lineRule="exact"/>
        <w:rPr>
          <w:rFonts w:ascii="David" w:hAnsi="David" w:cs="David"/>
          <w:sz w:val="24"/>
          <w:szCs w:val="24"/>
        </w:rPr>
      </w:pPr>
    </w:p>
    <w:sectPr w:rsidR="00F215A5" w:rsidRPr="006D1549" w:rsidSect="00FA762A">
      <w:footnotePr>
        <w:numRestart w:val="eachSect"/>
      </w:footnotePr>
      <w:type w:val="continuous"/>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1A025" w14:textId="77777777" w:rsidR="008F78E4" w:rsidRDefault="008F78E4" w:rsidP="007A61FC">
      <w:pPr>
        <w:spacing w:after="0" w:line="240" w:lineRule="auto"/>
      </w:pPr>
      <w:r>
        <w:separator/>
      </w:r>
    </w:p>
  </w:endnote>
  <w:endnote w:type="continuationSeparator" w:id="0">
    <w:p w14:paraId="49AC06B1" w14:textId="77777777" w:rsidR="008F78E4" w:rsidRDefault="008F78E4" w:rsidP="007A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TUR">
    <w:altName w:val="Arial"/>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tl/>
      </w:rPr>
      <w:id w:val="1995377864"/>
      <w:docPartObj>
        <w:docPartGallery w:val="Page Numbers (Bottom of Page)"/>
        <w:docPartUnique/>
      </w:docPartObj>
    </w:sdtPr>
    <w:sdtContent>
      <w:p w14:paraId="673867DC" w14:textId="77777777" w:rsidR="00F06EA1" w:rsidRPr="00B47817" w:rsidRDefault="00F06EA1">
        <w:pPr>
          <w:pStyle w:val="Footer"/>
          <w:jc w:val="center"/>
          <w:rPr>
            <w:rFonts w:ascii="Times New Roman" w:hAnsi="Times New Roman" w:cs="Times New Roman"/>
            <w:sz w:val="20"/>
            <w:szCs w:val="20"/>
          </w:rPr>
        </w:pPr>
        <w:r w:rsidRPr="00B47817">
          <w:rPr>
            <w:rFonts w:ascii="Times New Roman" w:hAnsi="Times New Roman" w:cs="Times New Roman"/>
            <w:sz w:val="20"/>
            <w:szCs w:val="20"/>
          </w:rPr>
          <w:fldChar w:fldCharType="begin"/>
        </w:r>
        <w:r w:rsidRPr="00B47817">
          <w:rPr>
            <w:rFonts w:ascii="Times New Roman" w:hAnsi="Times New Roman" w:cs="Times New Roman"/>
            <w:sz w:val="20"/>
            <w:szCs w:val="20"/>
          </w:rPr>
          <w:instrText xml:space="preserve"> PAGE   \* MERGEFORMAT </w:instrText>
        </w:r>
        <w:r w:rsidRPr="00B47817">
          <w:rPr>
            <w:rFonts w:ascii="Times New Roman" w:hAnsi="Times New Roman" w:cs="Times New Roman"/>
            <w:sz w:val="20"/>
            <w:szCs w:val="20"/>
          </w:rPr>
          <w:fldChar w:fldCharType="separate"/>
        </w:r>
        <w:r>
          <w:rPr>
            <w:rFonts w:ascii="Times New Roman" w:hAnsi="Times New Roman" w:cs="Times New Roman"/>
            <w:noProof/>
            <w:sz w:val="20"/>
            <w:szCs w:val="20"/>
            <w:rtl/>
          </w:rPr>
          <w:t>28</w:t>
        </w:r>
        <w:r w:rsidRPr="00B47817">
          <w:rPr>
            <w:rFonts w:ascii="Times New Roman" w:hAnsi="Times New Roman" w:cs="Times New Roman"/>
            <w:noProof/>
            <w:sz w:val="20"/>
            <w:szCs w:val="20"/>
          </w:rPr>
          <w:fldChar w:fldCharType="end"/>
        </w:r>
      </w:p>
    </w:sdtContent>
  </w:sdt>
  <w:p w14:paraId="79F5412E" w14:textId="77777777" w:rsidR="00F06EA1" w:rsidRPr="00B47817" w:rsidRDefault="00F06EA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0FF2" w14:textId="77777777" w:rsidR="008F78E4" w:rsidRDefault="008F78E4" w:rsidP="007A61FC">
      <w:pPr>
        <w:spacing w:after="0" w:line="240" w:lineRule="auto"/>
      </w:pPr>
      <w:r>
        <w:separator/>
      </w:r>
    </w:p>
  </w:footnote>
  <w:footnote w:type="continuationSeparator" w:id="0">
    <w:p w14:paraId="4B53D9D4" w14:textId="77777777" w:rsidR="008F78E4" w:rsidRDefault="008F78E4" w:rsidP="007A61FC">
      <w:pPr>
        <w:spacing w:after="0" w:line="240" w:lineRule="auto"/>
      </w:pPr>
      <w:r>
        <w:continuationSeparator/>
      </w:r>
    </w:p>
  </w:footnote>
  <w:footnote w:id="1">
    <w:p w14:paraId="4AC21F3E"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tl/>
        </w:rPr>
        <w:t>*</w:t>
      </w:r>
      <w:r w:rsidRPr="005F3228">
        <w:rPr>
          <w:rFonts w:ascii="David" w:hAnsi="David" w:cs="David"/>
          <w:rtl/>
        </w:rPr>
        <w:t xml:space="preserve"> הפקולטה למשפטים, הקריה האקדמית אונו.</w:t>
      </w:r>
    </w:p>
  </w:footnote>
  <w:footnote w:id="2">
    <w:p w14:paraId="14356B90"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tl/>
        </w:rPr>
        <w:t>**</w:t>
      </w:r>
      <w:r w:rsidRPr="005F3228">
        <w:rPr>
          <w:rFonts w:ascii="David" w:hAnsi="David" w:cs="David"/>
          <w:rtl/>
        </w:rPr>
        <w:t xml:space="preserve"> הפקולטה למשפטים, האוניברסיטה העברית בירושלים. </w:t>
      </w:r>
    </w:p>
    <w:p w14:paraId="606C2537" w14:textId="2FFB5F6C" w:rsidR="00F06EA1" w:rsidRPr="005F3228" w:rsidRDefault="00F06EA1" w:rsidP="001B31FC">
      <w:pPr>
        <w:pStyle w:val="FootnoteText"/>
        <w:jc w:val="both"/>
        <w:rPr>
          <w:rFonts w:ascii="David" w:hAnsi="David" w:cs="David"/>
        </w:rPr>
      </w:pPr>
      <w:r w:rsidRPr="005F3228">
        <w:rPr>
          <w:rFonts w:ascii="David" w:hAnsi="David" w:cs="David"/>
          <w:rtl/>
        </w:rPr>
        <w:t xml:space="preserve">אנו מודים לג'יי. ג'יי. </w:t>
      </w:r>
      <w:proofErr w:type="spellStart"/>
      <w:r w:rsidRPr="005F3228">
        <w:rPr>
          <w:rFonts w:ascii="David" w:hAnsi="David" w:cs="David"/>
          <w:rtl/>
        </w:rPr>
        <w:t>טלר</w:t>
      </w:r>
      <w:proofErr w:type="spellEnd"/>
      <w:r w:rsidRPr="005F3228">
        <w:rPr>
          <w:rFonts w:ascii="David" w:hAnsi="David" w:cs="David"/>
          <w:rtl/>
        </w:rPr>
        <w:t xml:space="preserve">, נוי ליאון, </w:t>
      </w:r>
      <w:proofErr w:type="spellStart"/>
      <w:r w:rsidRPr="005F3228">
        <w:rPr>
          <w:rFonts w:ascii="David" w:hAnsi="David" w:cs="David"/>
          <w:rtl/>
        </w:rPr>
        <w:t>וליהיא</w:t>
      </w:r>
      <w:proofErr w:type="spellEnd"/>
      <w:r w:rsidRPr="005F3228">
        <w:rPr>
          <w:rFonts w:ascii="David" w:hAnsi="David" w:cs="David"/>
          <w:rtl/>
        </w:rPr>
        <w:t xml:space="preserve"> כהן על עזרת מחקר מעולה, </w:t>
      </w:r>
      <w:r w:rsidRPr="005F3228">
        <w:rPr>
          <w:rFonts w:ascii="David" w:hAnsi="David" w:cs="David" w:hint="eastAsia"/>
          <w:rtl/>
        </w:rPr>
        <w:t>למשתתפי</w:t>
      </w:r>
      <w:r w:rsidRPr="005F3228">
        <w:rPr>
          <w:rFonts w:ascii="David" w:hAnsi="David" w:cs="David"/>
          <w:rtl/>
        </w:rPr>
        <w:t xml:space="preserve"> הסדנה למשפט </w:t>
      </w:r>
      <w:r w:rsidRPr="005F3228">
        <w:rPr>
          <w:rFonts w:ascii="David" w:hAnsi="David" w:cs="David" w:hint="eastAsia"/>
          <w:rtl/>
        </w:rPr>
        <w:t>פרטי</w:t>
      </w:r>
      <w:r w:rsidRPr="005F3228">
        <w:rPr>
          <w:rFonts w:ascii="David" w:hAnsi="David" w:cs="David"/>
          <w:rtl/>
        </w:rPr>
        <w:t xml:space="preserve"> ומסחרי באוניברסיטה העברית על דיון חשוב ומועיל </w:t>
      </w:r>
      <w:r w:rsidRPr="005F3228">
        <w:rPr>
          <w:rFonts w:ascii="David" w:hAnsi="David" w:cs="David" w:hint="eastAsia"/>
          <w:rtl/>
        </w:rPr>
        <w:t>בטיוטה</w:t>
      </w:r>
      <w:r w:rsidRPr="005F3228">
        <w:rPr>
          <w:rFonts w:ascii="David" w:hAnsi="David" w:cs="David"/>
          <w:rtl/>
        </w:rPr>
        <w:t xml:space="preserve"> קודמת של המאמר, ולמרכז ברק למחקר משפטי </w:t>
      </w:r>
      <w:proofErr w:type="spellStart"/>
      <w:r w:rsidRPr="005F3228">
        <w:rPr>
          <w:rFonts w:ascii="David" w:hAnsi="David" w:cs="David"/>
          <w:rtl/>
        </w:rPr>
        <w:t>אינטרדיסיפלינרי</w:t>
      </w:r>
      <w:proofErr w:type="spellEnd"/>
      <w:r w:rsidRPr="005F3228">
        <w:rPr>
          <w:rFonts w:ascii="David" w:hAnsi="David" w:cs="David"/>
          <w:rtl/>
        </w:rPr>
        <w:t xml:space="preserve"> באוניברסיטה העברית בירושלים על התמיכה במחקר זה. כמו כן, ברצוננו להודות לחברי וחברות מערכת כתב העת </w:t>
      </w:r>
      <w:r w:rsidRPr="005F3228">
        <w:rPr>
          <w:rFonts w:ascii="David" w:hAnsi="David" w:cs="David" w:hint="eastAsia"/>
          <w:b/>
          <w:bCs/>
          <w:rtl/>
        </w:rPr>
        <w:t>משפטים</w:t>
      </w:r>
      <w:r w:rsidRPr="005F3228">
        <w:rPr>
          <w:rFonts w:ascii="David" w:hAnsi="David" w:cs="David"/>
          <w:rtl/>
        </w:rPr>
        <w:t xml:space="preserve"> על</w:t>
      </w:r>
      <w:r w:rsidRPr="005F3228">
        <w:rPr>
          <w:rFonts w:ascii="David" w:hAnsi="David" w:cs="David" w:hint="cs"/>
          <w:rtl/>
        </w:rPr>
        <w:t xml:space="preserve"> עבודת עריכה מעמיקה ויסודית</w:t>
      </w:r>
      <w:r w:rsidRPr="005F3228">
        <w:rPr>
          <w:rFonts w:ascii="David" w:hAnsi="David" w:cs="David"/>
          <w:rtl/>
        </w:rPr>
        <w:t xml:space="preserve">. </w:t>
      </w:r>
    </w:p>
  </w:footnote>
  <w:footnote w:id="3">
    <w:p w14:paraId="2FDC87C6" w14:textId="77777777" w:rsidR="00F06EA1" w:rsidRPr="005F3228" w:rsidRDefault="00F06EA1" w:rsidP="000D19A0">
      <w:pPr>
        <w:pStyle w:val="FootnoteText"/>
        <w:ind w:right="-90"/>
        <w:jc w:val="both"/>
        <w:rPr>
          <w:rFonts w:ascii="David" w:hAnsi="David" w:cs="David"/>
          <w:rtl/>
        </w:rPr>
      </w:pPr>
      <w:r w:rsidRPr="005F3228">
        <w:rPr>
          <w:rFonts w:ascii="David" w:hAnsi="David" w:cs="David"/>
          <w:vertAlign w:val="superscript"/>
        </w:rPr>
        <w:footnoteRef/>
      </w:r>
      <w:r w:rsidRPr="005F3228">
        <w:rPr>
          <w:rFonts w:ascii="David" w:hAnsi="David" w:cs="David"/>
          <w:vertAlign w:val="superscript"/>
          <w:rtl/>
        </w:rPr>
        <w:t xml:space="preserve"> </w:t>
      </w:r>
      <w:r w:rsidRPr="005F3228">
        <w:rPr>
          <w:rFonts w:ascii="David" w:hAnsi="David" w:cs="David"/>
          <w:rtl/>
        </w:rPr>
        <w:t xml:space="preserve">רע"א 5768/94 </w:t>
      </w:r>
      <w:proofErr w:type="spellStart"/>
      <w:r w:rsidRPr="005F3228">
        <w:rPr>
          <w:rFonts w:ascii="David" w:hAnsi="David" w:cs="David"/>
          <w:b/>
          <w:bCs/>
          <w:rtl/>
        </w:rPr>
        <w:t>א.ש.י.ר</w:t>
      </w:r>
      <w:proofErr w:type="spellEnd"/>
      <w:r w:rsidRPr="005F3228">
        <w:rPr>
          <w:rFonts w:ascii="David" w:hAnsi="David" w:cs="David"/>
          <w:b/>
          <w:bCs/>
          <w:rtl/>
        </w:rPr>
        <w:t>. יבוא יצור והפצה נ' פורום אביזרים ומוצרי צריכה בע"מ</w:t>
      </w:r>
      <w:r w:rsidRPr="005F3228">
        <w:rPr>
          <w:rFonts w:ascii="David" w:hAnsi="David" w:cs="David"/>
          <w:rtl/>
        </w:rPr>
        <w:t xml:space="preserve">, פ"ד נב(4) 289 (1998) (להלן – "עניין </w:t>
      </w:r>
      <w:proofErr w:type="spellStart"/>
      <w:r w:rsidRPr="005F3228">
        <w:rPr>
          <w:rFonts w:ascii="David" w:hAnsi="David" w:cs="David"/>
          <w:rtl/>
        </w:rPr>
        <w:t>א.ש.י.ר</w:t>
      </w:r>
      <w:proofErr w:type="spellEnd"/>
      <w:r w:rsidRPr="005F3228">
        <w:rPr>
          <w:rFonts w:ascii="David" w:hAnsi="David" w:cs="David"/>
          <w:rtl/>
        </w:rPr>
        <w:t>.").</w:t>
      </w:r>
    </w:p>
  </w:footnote>
  <w:footnote w:id="4">
    <w:p w14:paraId="3A5173C6" w14:textId="77777777" w:rsidR="00F06EA1" w:rsidRPr="005F3228" w:rsidRDefault="00F06EA1" w:rsidP="000D19A0">
      <w:pPr>
        <w:pStyle w:val="FootnoteText"/>
        <w:jc w:val="both"/>
        <w:rPr>
          <w:rFonts w:ascii="David" w:hAnsi="David" w:cs="David"/>
        </w:rPr>
      </w:pPr>
      <w:r w:rsidRPr="005F3228">
        <w:rPr>
          <w:rFonts w:ascii="David" w:hAnsi="David" w:cs="David"/>
          <w:vertAlign w:val="superscript"/>
        </w:rPr>
        <w:footnoteRef/>
      </w:r>
      <w:r w:rsidRPr="005F3228">
        <w:rPr>
          <w:rFonts w:ascii="David" w:hAnsi="David" w:cs="David"/>
          <w:vertAlign w:val="superscript"/>
          <w:rtl/>
        </w:rPr>
        <w:t xml:space="preserve"> </w:t>
      </w:r>
      <w:r w:rsidRPr="005F3228">
        <w:rPr>
          <w:rFonts w:ascii="David" w:hAnsi="David" w:cs="David"/>
          <w:rtl/>
        </w:rPr>
        <w:t>ראו הפירוט בחלק א'1 להלן.</w:t>
      </w:r>
    </w:p>
  </w:footnote>
  <w:footnote w:id="5">
    <w:p w14:paraId="61D33949" w14:textId="77777777" w:rsidR="00F06EA1" w:rsidRPr="005F3228" w:rsidRDefault="00F06EA1" w:rsidP="000D19A0">
      <w:pPr>
        <w:spacing w:after="0"/>
        <w:jc w:val="both"/>
        <w:rPr>
          <w:rFonts w:ascii="David" w:hAnsi="David" w:cs="David"/>
          <w:sz w:val="20"/>
          <w:szCs w:val="20"/>
        </w:rPr>
      </w:pPr>
      <w:r w:rsidRPr="005F3228">
        <w:rPr>
          <w:rStyle w:val="FootnoteReference"/>
          <w:rFonts w:ascii="David" w:hAnsi="David" w:cs="David"/>
          <w:sz w:val="20"/>
          <w:szCs w:val="20"/>
        </w:rPr>
        <w:footnoteRef/>
      </w:r>
      <w:r w:rsidRPr="005F3228">
        <w:rPr>
          <w:rFonts w:ascii="David" w:hAnsi="David" w:cs="David"/>
          <w:sz w:val="20"/>
          <w:szCs w:val="20"/>
          <w:rtl/>
        </w:rPr>
        <w:t xml:space="preserve"> ראו למשל ניבה </w:t>
      </w:r>
      <w:proofErr w:type="spellStart"/>
      <w:r w:rsidRPr="005F3228">
        <w:rPr>
          <w:rFonts w:ascii="David" w:hAnsi="David" w:cs="David"/>
          <w:sz w:val="20"/>
          <w:szCs w:val="20"/>
          <w:rtl/>
        </w:rPr>
        <w:t>אלקין</w:t>
      </w:r>
      <w:proofErr w:type="spellEnd"/>
      <w:r w:rsidRPr="005F3228">
        <w:rPr>
          <w:rFonts w:ascii="David" w:hAnsi="David" w:cs="David"/>
          <w:sz w:val="20"/>
          <w:szCs w:val="20"/>
          <w:rtl/>
        </w:rPr>
        <w:t xml:space="preserve">-קורן, "על כלל ועל 'נחלת הכלל': מקניין רוחני לעשיית עושר ולא במשפט", </w:t>
      </w:r>
      <w:r w:rsidRPr="005F3228">
        <w:rPr>
          <w:rFonts w:ascii="David" w:hAnsi="David" w:cs="David"/>
          <w:b/>
          <w:bCs/>
          <w:sz w:val="20"/>
          <w:szCs w:val="20"/>
          <w:rtl/>
        </w:rPr>
        <w:t>עיוני משפט</w:t>
      </w:r>
      <w:r w:rsidRPr="005F3228">
        <w:rPr>
          <w:rFonts w:ascii="David" w:hAnsi="David" w:cs="David"/>
          <w:sz w:val="20"/>
          <w:szCs w:val="20"/>
          <w:rtl/>
        </w:rPr>
        <w:t xml:space="preserve"> כה (תשס"א) 9, 37 ("הלכת </w:t>
      </w:r>
      <w:proofErr w:type="spellStart"/>
      <w:r w:rsidRPr="005F3228">
        <w:rPr>
          <w:rFonts w:ascii="David" w:hAnsi="David" w:cs="David"/>
          <w:sz w:val="20"/>
          <w:szCs w:val="20"/>
          <w:rtl/>
        </w:rPr>
        <w:t>א.ש.י.ר</w:t>
      </w:r>
      <w:proofErr w:type="spellEnd"/>
      <w:r w:rsidRPr="005F3228">
        <w:rPr>
          <w:rFonts w:ascii="David" w:hAnsi="David" w:cs="David"/>
          <w:sz w:val="20"/>
          <w:szCs w:val="20"/>
          <w:rtl/>
        </w:rPr>
        <w:t xml:space="preserve">. חוללה שינוי דרמטי בהסדרת ״שוק המידע" במשפט הישראלי"); </w:t>
      </w:r>
      <w:proofErr w:type="spellStart"/>
      <w:r w:rsidRPr="005F3228">
        <w:rPr>
          <w:rFonts w:ascii="David" w:hAnsi="David" w:cs="David"/>
          <w:sz w:val="20"/>
          <w:szCs w:val="20"/>
          <w:rtl/>
        </w:rPr>
        <w:t>מיגל</w:t>
      </w:r>
      <w:proofErr w:type="spellEnd"/>
      <w:r w:rsidRPr="005F3228">
        <w:rPr>
          <w:rFonts w:ascii="David" w:hAnsi="David" w:cs="David"/>
          <w:sz w:val="20"/>
          <w:szCs w:val="20"/>
          <w:rtl/>
        </w:rPr>
        <w:t xml:space="preserve"> </w:t>
      </w:r>
      <w:proofErr w:type="spellStart"/>
      <w:r w:rsidRPr="005F3228">
        <w:rPr>
          <w:rFonts w:ascii="David" w:hAnsi="David" w:cs="David"/>
          <w:sz w:val="20"/>
          <w:szCs w:val="20"/>
          <w:rtl/>
        </w:rPr>
        <w:t>דויטש</w:t>
      </w:r>
      <w:proofErr w:type="spellEnd"/>
      <w:r w:rsidRPr="005F3228">
        <w:rPr>
          <w:rFonts w:ascii="David" w:hAnsi="David" w:cs="David"/>
          <w:sz w:val="20"/>
          <w:szCs w:val="20"/>
          <w:rtl/>
        </w:rPr>
        <w:t xml:space="preserve"> </w:t>
      </w:r>
      <w:r w:rsidRPr="005F3228">
        <w:rPr>
          <w:rFonts w:ascii="David" w:hAnsi="David" w:cs="David"/>
          <w:b/>
          <w:bCs/>
          <w:sz w:val="20"/>
          <w:szCs w:val="20"/>
          <w:rtl/>
        </w:rPr>
        <w:t>עוולות מסחריות וסודות מסחר</w:t>
      </w:r>
      <w:r w:rsidRPr="005F3228">
        <w:rPr>
          <w:rFonts w:ascii="David" w:hAnsi="David" w:cs="David"/>
          <w:sz w:val="20"/>
          <w:szCs w:val="20"/>
          <w:rtl/>
        </w:rPr>
        <w:t xml:space="preserve"> (2002) 261 ("אין לכחד כי דין הקניין הרוחני וסביבתו, לאחר פסק-דין </w:t>
      </w:r>
      <w:proofErr w:type="spellStart"/>
      <w:r w:rsidRPr="005F3228">
        <w:rPr>
          <w:rFonts w:ascii="David" w:hAnsi="David" w:cs="David"/>
          <w:sz w:val="20"/>
          <w:szCs w:val="20"/>
          <w:rtl/>
        </w:rPr>
        <w:t>א.ש.י.ר</w:t>
      </w:r>
      <w:proofErr w:type="spellEnd"/>
      <w:r w:rsidRPr="005F3228">
        <w:rPr>
          <w:rFonts w:ascii="David" w:hAnsi="David" w:cs="David"/>
          <w:sz w:val="20"/>
          <w:szCs w:val="20"/>
          <w:rtl/>
        </w:rPr>
        <w:t xml:space="preserve">., שוב אינו כפי שלפני").   </w:t>
      </w:r>
    </w:p>
  </w:footnote>
  <w:footnote w:id="6">
    <w:p w14:paraId="7F4994DC"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ראו ביתר פירוט בחלק א'2 להלן.</w:t>
      </w:r>
    </w:p>
  </w:footnote>
  <w:footnote w:id="7">
    <w:p w14:paraId="44E0B8FA" w14:textId="4E493490"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ראו </w:t>
      </w:r>
      <w:r w:rsidRPr="005F3228">
        <w:rPr>
          <w:rFonts w:ascii="David" w:hAnsi="David" w:cs="David"/>
          <w:b/>
          <w:bCs/>
          <w:rtl/>
        </w:rPr>
        <w:t>להלן</w:t>
      </w:r>
      <w:r w:rsidRPr="005F3228">
        <w:rPr>
          <w:rFonts w:ascii="David" w:hAnsi="David" w:cs="David"/>
          <w:rtl/>
        </w:rPr>
        <w:t xml:space="preserve">, הערות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Ref28321967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50</w:t>
      </w:r>
      <w:r w:rsidRPr="005F3228">
        <w:rPr>
          <w:rFonts w:ascii="David" w:hAnsi="David" w:cs="David"/>
          <w:rtl/>
        </w:rPr>
        <w:fldChar w:fldCharType="end"/>
      </w:r>
      <w:r w:rsidRPr="005F3228">
        <w:rPr>
          <w:rFonts w:ascii="David" w:hAnsi="David" w:cs="David"/>
          <w:rtl/>
        </w:rPr>
        <w:t>-</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Ref27910678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51</w:t>
      </w:r>
      <w:r w:rsidRPr="005F3228">
        <w:rPr>
          <w:rFonts w:ascii="David" w:hAnsi="David" w:cs="David"/>
          <w:rtl/>
        </w:rPr>
        <w:fldChar w:fldCharType="end"/>
      </w:r>
      <w:r w:rsidRPr="005F3228">
        <w:rPr>
          <w:rFonts w:ascii="David" w:hAnsi="David" w:cs="David"/>
          <w:rtl/>
        </w:rPr>
        <w:t xml:space="preserve"> והטקסט לידן. </w:t>
      </w:r>
    </w:p>
  </w:footnote>
  <w:footnote w:id="8">
    <w:p w14:paraId="7C252ECD" w14:textId="39C3E5DD" w:rsidR="00F06EA1" w:rsidRPr="005F3228" w:rsidRDefault="00F06EA1" w:rsidP="001B31FC">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ראו </w:t>
      </w:r>
      <w:r w:rsidRPr="005F3228">
        <w:rPr>
          <w:rFonts w:ascii="David" w:hAnsi="David" w:cs="David"/>
          <w:b/>
          <w:bCs/>
          <w:rtl/>
        </w:rPr>
        <w:t>להלן</w:t>
      </w:r>
      <w:r w:rsidRPr="005F3228">
        <w:rPr>
          <w:rFonts w:ascii="David" w:hAnsi="David" w:cs="David"/>
          <w:rtl/>
        </w:rPr>
        <w:t xml:space="preserve">, הערות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Ref27910706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45</w:t>
      </w:r>
      <w:r w:rsidRPr="005F3228">
        <w:rPr>
          <w:rFonts w:ascii="David" w:hAnsi="David" w:cs="David"/>
          <w:rtl/>
        </w:rPr>
        <w:fldChar w:fldCharType="end"/>
      </w:r>
      <w:r w:rsidRPr="005F3228">
        <w:rPr>
          <w:rFonts w:ascii="David" w:hAnsi="David" w:cs="David"/>
          <w:rtl/>
        </w:rPr>
        <w:t>-</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Ref27910708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49</w:t>
      </w:r>
      <w:r w:rsidRPr="005F3228">
        <w:rPr>
          <w:rFonts w:ascii="David" w:hAnsi="David" w:cs="David"/>
          <w:rtl/>
        </w:rPr>
        <w:fldChar w:fldCharType="end"/>
      </w:r>
      <w:r w:rsidRPr="005F3228">
        <w:rPr>
          <w:rFonts w:ascii="David" w:hAnsi="David" w:cs="David"/>
          <w:rtl/>
        </w:rPr>
        <w:t xml:space="preserve"> והטקסט לידן. סעיף נוסף </w:t>
      </w:r>
      <w:r w:rsidRPr="005F3228">
        <w:rPr>
          <w:rFonts w:ascii="David" w:hAnsi="David" w:cs="David" w:hint="eastAsia"/>
          <w:rtl/>
        </w:rPr>
        <w:t>שניתן</w:t>
      </w:r>
      <w:r w:rsidRPr="005F3228">
        <w:rPr>
          <w:rFonts w:ascii="David" w:hAnsi="David" w:cs="David"/>
          <w:rtl/>
        </w:rPr>
        <w:t xml:space="preserve"> </w:t>
      </w:r>
      <w:r w:rsidRPr="005F3228">
        <w:rPr>
          <w:rFonts w:ascii="David" w:hAnsi="David" w:cs="David" w:hint="eastAsia"/>
          <w:rtl/>
        </w:rPr>
        <w:t>לכאורה</w:t>
      </w:r>
      <w:r w:rsidRPr="005F3228">
        <w:rPr>
          <w:rFonts w:ascii="David" w:hAnsi="David" w:cs="David"/>
          <w:rtl/>
        </w:rPr>
        <w:t xml:space="preserve"> </w:t>
      </w:r>
      <w:r w:rsidRPr="005F3228">
        <w:rPr>
          <w:rFonts w:ascii="David" w:hAnsi="David" w:cs="David" w:hint="eastAsia"/>
          <w:rtl/>
        </w:rPr>
        <w:t>לפרשו</w:t>
      </w:r>
      <w:r w:rsidRPr="005F3228">
        <w:rPr>
          <w:rFonts w:ascii="David" w:hAnsi="David" w:cs="David"/>
          <w:rtl/>
        </w:rPr>
        <w:t xml:space="preserve"> באופן דומה הוא סעיף 3 לחוק זכות יוצרים הקובע כי "לא תהא זכות יוצרים ביצירה אלא </w:t>
      </w:r>
      <w:r w:rsidRPr="005F3228">
        <w:rPr>
          <w:rFonts w:ascii="David" w:hAnsi="David" w:cs="David" w:hint="eastAsia"/>
          <w:rtl/>
        </w:rPr>
        <w:t>לפי</w:t>
      </w:r>
      <w:r w:rsidRPr="005F3228">
        <w:rPr>
          <w:rFonts w:ascii="David" w:hAnsi="David" w:cs="David"/>
          <w:rtl/>
        </w:rPr>
        <w:t xml:space="preserve"> </w:t>
      </w:r>
      <w:r w:rsidRPr="005F3228">
        <w:rPr>
          <w:rFonts w:ascii="David" w:hAnsi="David" w:cs="David" w:hint="eastAsia"/>
          <w:rtl/>
        </w:rPr>
        <w:t>הוראות</w:t>
      </w:r>
      <w:r w:rsidRPr="005F3228">
        <w:rPr>
          <w:rFonts w:ascii="David" w:hAnsi="David" w:cs="David"/>
          <w:rtl/>
        </w:rPr>
        <w:t xml:space="preserve"> </w:t>
      </w:r>
      <w:r w:rsidRPr="005F3228">
        <w:rPr>
          <w:rFonts w:ascii="David" w:hAnsi="David" w:cs="David" w:hint="eastAsia"/>
          <w:rtl/>
        </w:rPr>
        <w:t>חוק</w:t>
      </w:r>
      <w:r w:rsidRPr="005F3228">
        <w:rPr>
          <w:rFonts w:ascii="David" w:hAnsi="David" w:cs="David"/>
          <w:rtl/>
        </w:rPr>
        <w:t xml:space="preserve"> </w:t>
      </w:r>
      <w:r w:rsidRPr="005F3228">
        <w:rPr>
          <w:rFonts w:ascii="David" w:hAnsi="David" w:cs="David" w:hint="eastAsia"/>
          <w:rtl/>
        </w:rPr>
        <w:t>זה</w:t>
      </w:r>
      <w:r w:rsidRPr="005F3228">
        <w:rPr>
          <w:rFonts w:ascii="David" w:hAnsi="David" w:cs="David"/>
          <w:rtl/>
        </w:rPr>
        <w:t xml:space="preserve">". לקריאה של הסעיף </w:t>
      </w:r>
      <w:r w:rsidRPr="005F3228">
        <w:rPr>
          <w:rFonts w:ascii="David" w:hAnsi="David" w:cs="David" w:hint="eastAsia"/>
          <w:rtl/>
        </w:rPr>
        <w:t>כמכוון</w:t>
      </w:r>
      <w:r w:rsidRPr="005F3228">
        <w:rPr>
          <w:rFonts w:ascii="David" w:hAnsi="David" w:cs="David"/>
          <w:rtl/>
        </w:rPr>
        <w:t xml:space="preserve"> לשלול את תחולתה של הלכת </w:t>
      </w:r>
      <w:proofErr w:type="spellStart"/>
      <w:r w:rsidRPr="005F3228">
        <w:rPr>
          <w:rFonts w:ascii="David" w:hAnsi="David" w:cs="David"/>
          <w:rtl/>
        </w:rPr>
        <w:t>א.ש.י.ר</w:t>
      </w:r>
      <w:proofErr w:type="spellEnd"/>
      <w:r w:rsidRPr="005F3228">
        <w:rPr>
          <w:rFonts w:ascii="David" w:hAnsi="David" w:cs="David"/>
          <w:rtl/>
        </w:rPr>
        <w:t xml:space="preserve">. </w:t>
      </w:r>
      <w:r w:rsidRPr="005F3228">
        <w:rPr>
          <w:rFonts w:ascii="David" w:hAnsi="David" w:cs="David" w:hint="eastAsia"/>
          <w:rtl/>
        </w:rPr>
        <w:t>בהקשרים</w:t>
      </w:r>
      <w:r w:rsidRPr="005F3228">
        <w:rPr>
          <w:rFonts w:ascii="David" w:hAnsi="David" w:cs="David"/>
          <w:rtl/>
        </w:rPr>
        <w:t xml:space="preserve"> בהם חל חוק זכות יוצרים, ראו </w:t>
      </w:r>
      <w:r w:rsidRPr="005F3228">
        <w:rPr>
          <w:rFonts w:ascii="David" w:hAnsi="David" w:cs="David" w:hint="eastAsia"/>
          <w:rtl/>
        </w:rPr>
        <w:t>יהושע</w:t>
      </w:r>
      <w:r w:rsidRPr="005F3228">
        <w:rPr>
          <w:rFonts w:ascii="David" w:hAnsi="David" w:cs="David"/>
          <w:rtl/>
        </w:rPr>
        <w:t xml:space="preserve"> ויסמן, "קריאה השוואתית: מאפיינים של חוק זכות יוצרים, התשס"ח-2007", </w:t>
      </w:r>
      <w:r w:rsidRPr="005F3228">
        <w:rPr>
          <w:rFonts w:ascii="David" w:hAnsi="David" w:cs="David" w:hint="eastAsia"/>
          <w:b/>
          <w:bCs/>
          <w:rtl/>
        </w:rPr>
        <w:t>יוצרים</w:t>
      </w:r>
      <w:r w:rsidRPr="005F3228">
        <w:rPr>
          <w:rFonts w:ascii="David" w:hAnsi="David" w:cs="David"/>
          <w:b/>
          <w:bCs/>
          <w:rtl/>
        </w:rPr>
        <w:t xml:space="preserve"> </w:t>
      </w:r>
      <w:r w:rsidRPr="005F3228">
        <w:rPr>
          <w:rFonts w:ascii="David" w:hAnsi="David" w:cs="David" w:hint="eastAsia"/>
          <w:b/>
          <w:bCs/>
          <w:rtl/>
        </w:rPr>
        <w:t>זכויות</w:t>
      </w:r>
      <w:r w:rsidRPr="005F3228">
        <w:rPr>
          <w:rFonts w:ascii="David" w:hAnsi="David" w:cs="David"/>
          <w:b/>
          <w:bCs/>
          <w:rtl/>
        </w:rPr>
        <w:t xml:space="preserve">: </w:t>
      </w:r>
      <w:r w:rsidRPr="005F3228">
        <w:rPr>
          <w:rFonts w:ascii="David" w:hAnsi="David" w:cs="David" w:hint="eastAsia"/>
          <w:b/>
          <w:bCs/>
          <w:rtl/>
        </w:rPr>
        <w:t>קריאות</w:t>
      </w:r>
      <w:r w:rsidRPr="005F3228">
        <w:rPr>
          <w:rFonts w:ascii="David" w:hAnsi="David" w:cs="David"/>
          <w:b/>
          <w:bCs/>
          <w:rtl/>
        </w:rPr>
        <w:t xml:space="preserve"> </w:t>
      </w:r>
      <w:r w:rsidRPr="005F3228">
        <w:rPr>
          <w:rFonts w:ascii="David" w:hAnsi="David" w:cs="David" w:hint="eastAsia"/>
          <w:b/>
          <w:bCs/>
          <w:rtl/>
        </w:rPr>
        <w:t>בחוק</w:t>
      </w:r>
      <w:r w:rsidRPr="005F3228">
        <w:rPr>
          <w:rFonts w:ascii="David" w:hAnsi="David" w:cs="David"/>
          <w:b/>
          <w:bCs/>
          <w:rtl/>
        </w:rPr>
        <w:t xml:space="preserve"> </w:t>
      </w:r>
      <w:r w:rsidRPr="005F3228">
        <w:rPr>
          <w:rFonts w:ascii="David" w:hAnsi="David" w:cs="David" w:hint="eastAsia"/>
          <w:b/>
          <w:bCs/>
          <w:rtl/>
        </w:rPr>
        <w:t>זכויות</w:t>
      </w:r>
      <w:r w:rsidRPr="005F3228">
        <w:rPr>
          <w:rFonts w:ascii="David" w:hAnsi="David" w:cs="David"/>
          <w:b/>
          <w:bCs/>
          <w:rtl/>
        </w:rPr>
        <w:t xml:space="preserve"> </w:t>
      </w:r>
      <w:r w:rsidRPr="005F3228">
        <w:rPr>
          <w:rFonts w:ascii="David" w:hAnsi="David" w:cs="David" w:hint="eastAsia"/>
          <w:b/>
          <w:bCs/>
          <w:rtl/>
        </w:rPr>
        <w:t>יוצרים</w:t>
      </w:r>
      <w:r w:rsidRPr="005F3228">
        <w:rPr>
          <w:rFonts w:ascii="David" w:hAnsi="David" w:cs="David"/>
          <w:b/>
          <w:bCs/>
          <w:rtl/>
        </w:rPr>
        <w:t xml:space="preserve"> 69</w:t>
      </w:r>
      <w:r w:rsidRPr="005F3228">
        <w:rPr>
          <w:rFonts w:ascii="David" w:hAnsi="David" w:cs="David"/>
          <w:rtl/>
        </w:rPr>
        <w:t>, 80-81 (</w:t>
      </w:r>
      <w:r w:rsidRPr="005F3228">
        <w:rPr>
          <w:rFonts w:ascii="David" w:hAnsi="David" w:cs="David" w:hint="eastAsia"/>
          <w:rtl/>
        </w:rPr>
        <w:t>מיכאל</w:t>
      </w:r>
      <w:r w:rsidRPr="005F3228">
        <w:rPr>
          <w:rFonts w:ascii="David" w:hAnsi="David" w:cs="David"/>
          <w:rtl/>
        </w:rPr>
        <w:t xml:space="preserve"> </w:t>
      </w:r>
      <w:proofErr w:type="spellStart"/>
      <w:r w:rsidRPr="005F3228">
        <w:rPr>
          <w:rFonts w:ascii="David" w:hAnsi="David" w:cs="David" w:hint="eastAsia"/>
          <w:rtl/>
        </w:rPr>
        <w:t>בירנהק</w:t>
      </w:r>
      <w:proofErr w:type="spellEnd"/>
      <w:r w:rsidRPr="005F3228">
        <w:rPr>
          <w:rFonts w:ascii="David" w:hAnsi="David" w:cs="David"/>
          <w:rtl/>
        </w:rPr>
        <w:t xml:space="preserve"> </w:t>
      </w:r>
      <w:r w:rsidRPr="005F3228">
        <w:rPr>
          <w:rFonts w:ascii="David" w:hAnsi="David" w:cs="David" w:hint="eastAsia"/>
          <w:rtl/>
        </w:rPr>
        <w:t>וגיא</w:t>
      </w:r>
      <w:r w:rsidRPr="005F3228">
        <w:rPr>
          <w:rFonts w:ascii="David" w:hAnsi="David" w:cs="David"/>
          <w:rtl/>
        </w:rPr>
        <w:t xml:space="preserve"> </w:t>
      </w:r>
      <w:r w:rsidRPr="005F3228">
        <w:rPr>
          <w:rFonts w:ascii="David" w:hAnsi="David" w:cs="David" w:hint="eastAsia"/>
          <w:rtl/>
        </w:rPr>
        <w:t>פסח</w:t>
      </w:r>
      <w:r w:rsidRPr="005F3228">
        <w:rPr>
          <w:rFonts w:ascii="David" w:hAnsi="David" w:cs="David"/>
          <w:rtl/>
        </w:rPr>
        <w:t xml:space="preserve">, </w:t>
      </w:r>
      <w:r w:rsidRPr="005F3228">
        <w:rPr>
          <w:rFonts w:ascii="David" w:hAnsi="David" w:cs="David" w:hint="eastAsia"/>
          <w:rtl/>
        </w:rPr>
        <w:t>עורכים</w:t>
      </w:r>
      <w:r w:rsidRPr="005F3228">
        <w:rPr>
          <w:rFonts w:ascii="David" w:hAnsi="David" w:cs="David"/>
          <w:rtl/>
        </w:rPr>
        <w:t xml:space="preserve">, 2009). </w:t>
      </w:r>
      <w:r w:rsidRPr="005F3228">
        <w:rPr>
          <w:rFonts w:ascii="David" w:hAnsi="David" w:cs="David" w:hint="cs"/>
          <w:rtl/>
        </w:rPr>
        <w:t>השוו</w:t>
      </w:r>
      <w:r w:rsidRPr="005F3228">
        <w:rPr>
          <w:rFonts w:ascii="David" w:hAnsi="David" w:cs="David"/>
          <w:rtl/>
        </w:rPr>
        <w:t xml:space="preserve"> עופר </w:t>
      </w:r>
      <w:proofErr w:type="spellStart"/>
      <w:r w:rsidRPr="005F3228">
        <w:rPr>
          <w:rFonts w:ascii="David" w:hAnsi="David" w:cs="David"/>
          <w:rtl/>
        </w:rPr>
        <w:t>גרוסקופף</w:t>
      </w:r>
      <w:proofErr w:type="spellEnd"/>
      <w:r w:rsidRPr="005F3228">
        <w:rPr>
          <w:rFonts w:ascii="David" w:hAnsi="David" w:cs="David"/>
          <w:rtl/>
        </w:rPr>
        <w:t xml:space="preserve"> "הנשר והנסיכות: על היחס שבין דיני עשיית עושר ולא במשפט לבין דיני זכויות יוצרים" </w:t>
      </w:r>
      <w:r w:rsidRPr="005F3228">
        <w:rPr>
          <w:rFonts w:ascii="David" w:hAnsi="David" w:cs="David"/>
          <w:b/>
          <w:bCs/>
          <w:rtl/>
        </w:rPr>
        <w:t>יוצרים זכויות: קריאות בחוק זכויות יוצרים</w:t>
      </w:r>
      <w:r w:rsidRPr="005F3228">
        <w:rPr>
          <w:rFonts w:ascii="David" w:hAnsi="David" w:cs="David"/>
          <w:rtl/>
        </w:rPr>
        <w:t xml:space="preserve"> 201, 217-18 (מיכאל </w:t>
      </w:r>
      <w:proofErr w:type="spellStart"/>
      <w:r w:rsidRPr="005F3228">
        <w:rPr>
          <w:rFonts w:ascii="David" w:hAnsi="David" w:cs="David"/>
          <w:rtl/>
        </w:rPr>
        <w:t>בירנהק</w:t>
      </w:r>
      <w:proofErr w:type="spellEnd"/>
      <w:r w:rsidRPr="005F3228">
        <w:rPr>
          <w:rFonts w:ascii="David" w:hAnsi="David" w:cs="David"/>
          <w:rtl/>
        </w:rPr>
        <w:t xml:space="preserve"> וגיא פסח, עורכים, 2009) (</w:t>
      </w:r>
      <w:r w:rsidRPr="005F3228">
        <w:rPr>
          <w:rFonts w:ascii="David" w:hAnsi="David" w:cs="David" w:hint="cs"/>
          <w:rtl/>
        </w:rPr>
        <w:t>הסבור</w:t>
      </w:r>
      <w:r w:rsidRPr="005F3228">
        <w:rPr>
          <w:rFonts w:ascii="David" w:hAnsi="David" w:cs="David"/>
          <w:rtl/>
        </w:rPr>
        <w:t xml:space="preserve"> </w:t>
      </w:r>
      <w:r w:rsidRPr="005F3228">
        <w:rPr>
          <w:rFonts w:ascii="David" w:hAnsi="David" w:cs="David" w:hint="eastAsia"/>
          <w:rtl/>
        </w:rPr>
        <w:t>שלא</w:t>
      </w:r>
      <w:r w:rsidRPr="005F3228">
        <w:rPr>
          <w:rFonts w:ascii="David" w:hAnsi="David" w:cs="David"/>
          <w:rtl/>
        </w:rPr>
        <w:t xml:space="preserve"> ניתן לקבל </w:t>
      </w:r>
      <w:r w:rsidRPr="005F3228">
        <w:rPr>
          <w:rFonts w:ascii="David" w:hAnsi="David" w:cs="David" w:hint="eastAsia"/>
          <w:rtl/>
        </w:rPr>
        <w:t>פרשנות</w:t>
      </w:r>
      <w:r w:rsidRPr="005F3228">
        <w:rPr>
          <w:rFonts w:ascii="David" w:hAnsi="David" w:cs="David"/>
          <w:rtl/>
        </w:rPr>
        <w:t xml:space="preserve"> </w:t>
      </w:r>
      <w:r w:rsidRPr="005F3228">
        <w:rPr>
          <w:rFonts w:ascii="David" w:hAnsi="David" w:cs="David" w:hint="eastAsia"/>
          <w:rtl/>
        </w:rPr>
        <w:t>זו</w:t>
      </w:r>
      <w:r w:rsidRPr="005F3228">
        <w:rPr>
          <w:rFonts w:ascii="David" w:hAnsi="David" w:cs="David"/>
          <w:rtl/>
        </w:rPr>
        <w:t xml:space="preserve"> </w:t>
      </w:r>
      <w:r w:rsidRPr="005F3228">
        <w:rPr>
          <w:rFonts w:ascii="David" w:hAnsi="David" w:cs="David" w:hint="eastAsia"/>
          <w:rtl/>
        </w:rPr>
        <w:t>של</w:t>
      </w:r>
      <w:r w:rsidRPr="005F3228">
        <w:rPr>
          <w:rFonts w:ascii="David" w:hAnsi="David" w:cs="David"/>
          <w:rtl/>
        </w:rPr>
        <w:t xml:space="preserve"> הסעיף).</w:t>
      </w:r>
    </w:p>
  </w:footnote>
  <w:footnote w:id="9">
    <w:p w14:paraId="39816276" w14:textId="77777777" w:rsidR="00F06EA1" w:rsidRPr="005F3228" w:rsidRDefault="00F06EA1" w:rsidP="000D19A0">
      <w:pPr>
        <w:pStyle w:val="FootnoteText"/>
        <w:ind w:right="-90"/>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ע"א 1248/15 </w:t>
      </w:r>
      <w:r w:rsidRPr="005F3228">
        <w:rPr>
          <w:rFonts w:ascii="David" w:hAnsi="David" w:cs="David"/>
          <w:b/>
          <w:bCs/>
        </w:rPr>
        <w:t>Fisher Price Inc.</w:t>
      </w:r>
      <w:r w:rsidRPr="005F3228">
        <w:rPr>
          <w:rFonts w:ascii="David" w:hAnsi="David" w:cs="David"/>
          <w:b/>
          <w:bCs/>
          <w:rtl/>
        </w:rPr>
        <w:t xml:space="preserve"> נ' </w:t>
      </w:r>
      <w:proofErr w:type="spellStart"/>
      <w:r w:rsidRPr="005F3228">
        <w:rPr>
          <w:rFonts w:ascii="David" w:hAnsi="David" w:cs="David"/>
          <w:b/>
          <w:bCs/>
          <w:rtl/>
        </w:rPr>
        <w:t>דוורון</w:t>
      </w:r>
      <w:proofErr w:type="spellEnd"/>
      <w:r w:rsidRPr="005F3228">
        <w:rPr>
          <w:rFonts w:ascii="David" w:hAnsi="David" w:cs="David"/>
          <w:b/>
          <w:bCs/>
          <w:rtl/>
        </w:rPr>
        <w:t xml:space="preserve"> – יבוא ויצוא בע"מ</w:t>
      </w:r>
      <w:r w:rsidRPr="005F3228">
        <w:rPr>
          <w:rFonts w:ascii="David" w:hAnsi="David" w:cs="David"/>
          <w:rtl/>
        </w:rPr>
        <w:t xml:space="preserve"> (2015) (להלן: "עניין </w:t>
      </w:r>
      <w:r w:rsidRPr="005F3228">
        <w:rPr>
          <w:rFonts w:ascii="David" w:hAnsi="David" w:cs="David"/>
          <w:b/>
          <w:bCs/>
        </w:rPr>
        <w:t>Fisher Price</w:t>
      </w:r>
      <w:r w:rsidRPr="005F3228">
        <w:rPr>
          <w:rFonts w:ascii="David" w:hAnsi="David" w:cs="David"/>
          <w:rtl/>
        </w:rPr>
        <w:t xml:space="preserve">"). לעמדת היועץ המשפטי באותו הליך, ראו: </w:t>
      </w:r>
      <w:r w:rsidRPr="005F3228">
        <w:rPr>
          <w:rFonts w:ascii="David" w:hAnsi="David" w:cs="David"/>
        </w:rPr>
        <w:t>http://www.justice.gov.il/Pubilcations/Articles/Documents/complement_refernce_of_the_General_Attorney.pdf</w:t>
      </w:r>
      <w:r w:rsidRPr="005F3228">
        <w:rPr>
          <w:rFonts w:ascii="David" w:hAnsi="David" w:cs="David"/>
          <w:rtl/>
        </w:rPr>
        <w:t xml:space="preserve"> (להלן: "עמדת היועץ המשפטי בעניין </w:t>
      </w:r>
      <w:r w:rsidRPr="005F3228">
        <w:rPr>
          <w:rFonts w:ascii="David" w:hAnsi="David" w:cs="David"/>
        </w:rPr>
        <w:t>Fisher Price</w:t>
      </w:r>
      <w:r w:rsidRPr="005F3228">
        <w:rPr>
          <w:rFonts w:ascii="David" w:hAnsi="David" w:cs="David"/>
          <w:rtl/>
        </w:rPr>
        <w:t>").</w:t>
      </w:r>
    </w:p>
  </w:footnote>
  <w:footnote w:id="10">
    <w:p w14:paraId="33AB299A" w14:textId="736EF1C2"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ראו </w:t>
      </w:r>
      <w:r w:rsidRPr="005F3228">
        <w:rPr>
          <w:rFonts w:ascii="David" w:hAnsi="David" w:cs="David"/>
          <w:b/>
          <w:bCs/>
          <w:rtl/>
        </w:rPr>
        <w:t>להלן</w:t>
      </w:r>
      <w:r w:rsidRPr="005F3228">
        <w:rPr>
          <w:rFonts w:ascii="David" w:hAnsi="David" w:cs="David"/>
          <w:rtl/>
        </w:rPr>
        <w:t xml:space="preserve">, הערות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Ref27988792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54</w:t>
      </w:r>
      <w:r w:rsidRPr="005F3228">
        <w:rPr>
          <w:rFonts w:ascii="David" w:hAnsi="David" w:cs="David"/>
          <w:rtl/>
        </w:rPr>
        <w:fldChar w:fldCharType="end"/>
      </w:r>
      <w:r w:rsidRPr="005F3228">
        <w:rPr>
          <w:rFonts w:ascii="David" w:hAnsi="David" w:cs="David"/>
          <w:rtl/>
        </w:rPr>
        <w:t>-</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Ref27988767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52</w:t>
      </w:r>
      <w:r w:rsidRPr="005F3228">
        <w:rPr>
          <w:rFonts w:ascii="David" w:hAnsi="David" w:cs="David"/>
          <w:rtl/>
        </w:rPr>
        <w:fldChar w:fldCharType="end"/>
      </w:r>
      <w:r w:rsidRPr="005F3228">
        <w:rPr>
          <w:rFonts w:ascii="David" w:hAnsi="David" w:cs="David"/>
          <w:rtl/>
        </w:rPr>
        <w:t xml:space="preserve"> והטקסט לידן.</w:t>
      </w:r>
    </w:p>
  </w:footnote>
  <w:footnote w:id="11">
    <w:p w14:paraId="4867BF87" w14:textId="77777777" w:rsidR="00F06EA1" w:rsidRPr="005F3228" w:rsidRDefault="00F06EA1" w:rsidP="000D19A0">
      <w:pPr>
        <w:pStyle w:val="FootnoteText"/>
        <w:ind w:right="-90"/>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ראו ביתר הרחבה תיאור המתודולוגיה </w:t>
      </w:r>
      <w:r w:rsidRPr="005F3228">
        <w:rPr>
          <w:rFonts w:ascii="David" w:hAnsi="David" w:cs="David"/>
          <w:b/>
          <w:bCs/>
          <w:rtl/>
        </w:rPr>
        <w:t>להלן</w:t>
      </w:r>
      <w:r w:rsidRPr="005F3228">
        <w:rPr>
          <w:rFonts w:ascii="David" w:hAnsi="David" w:cs="David"/>
          <w:rtl/>
        </w:rPr>
        <w:t>, חלק ב'.</w:t>
      </w:r>
    </w:p>
  </w:footnote>
  <w:footnote w:id="12">
    <w:p w14:paraId="4F2B7BED" w14:textId="77777777" w:rsidR="00F06EA1" w:rsidRPr="005F3228" w:rsidRDefault="00F06EA1" w:rsidP="000D19A0">
      <w:pPr>
        <w:spacing w:after="0" w:line="240" w:lineRule="auto"/>
        <w:jc w:val="both"/>
        <w:rPr>
          <w:rFonts w:ascii="David" w:hAnsi="David" w:cs="David"/>
          <w:sz w:val="20"/>
          <w:szCs w:val="20"/>
        </w:rPr>
      </w:pPr>
      <w:r w:rsidRPr="005F3228">
        <w:rPr>
          <w:rStyle w:val="FootnoteReference"/>
          <w:rFonts w:ascii="David" w:hAnsi="David" w:cs="David"/>
          <w:sz w:val="20"/>
          <w:szCs w:val="20"/>
        </w:rPr>
        <w:footnoteRef/>
      </w:r>
      <w:r w:rsidRPr="005F3228">
        <w:rPr>
          <w:rFonts w:ascii="David" w:hAnsi="David" w:cs="David"/>
          <w:sz w:val="20"/>
          <w:szCs w:val="20"/>
          <w:rtl/>
        </w:rPr>
        <w:t xml:space="preserve"> לדיון בממצא זה ובממצאים נוספים העולים מן המחקר הכמותי ראו </w:t>
      </w:r>
      <w:r w:rsidRPr="005F3228">
        <w:rPr>
          <w:rFonts w:ascii="David" w:hAnsi="David" w:cs="David"/>
          <w:b/>
          <w:bCs/>
          <w:sz w:val="20"/>
          <w:szCs w:val="20"/>
          <w:rtl/>
        </w:rPr>
        <w:t>להלן</w:t>
      </w:r>
      <w:r w:rsidRPr="005F3228">
        <w:rPr>
          <w:rFonts w:ascii="David" w:hAnsi="David" w:cs="David"/>
          <w:sz w:val="20"/>
          <w:szCs w:val="20"/>
          <w:rtl/>
        </w:rPr>
        <w:t xml:space="preserve">, חלק ב'. </w:t>
      </w:r>
    </w:p>
  </w:footnote>
  <w:footnote w:id="13">
    <w:p w14:paraId="523E23CA" w14:textId="77777777" w:rsidR="00F06EA1" w:rsidRPr="005F3228" w:rsidRDefault="00F06EA1" w:rsidP="000D19A0">
      <w:pPr>
        <w:pStyle w:val="FootnoteText"/>
        <w:ind w:right="-90"/>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lang w:eastAsia="he-IL"/>
        </w:rPr>
        <w:t xml:space="preserve">ע"א 8483/02 </w:t>
      </w:r>
      <w:proofErr w:type="spellStart"/>
      <w:r w:rsidRPr="005F3228">
        <w:rPr>
          <w:rFonts w:ascii="David" w:hAnsi="David" w:cs="David"/>
          <w:b/>
          <w:bCs/>
          <w:rtl/>
          <w:lang w:eastAsia="he-IL"/>
        </w:rPr>
        <w:t>אלוניאל</w:t>
      </w:r>
      <w:proofErr w:type="spellEnd"/>
      <w:r w:rsidRPr="005F3228">
        <w:rPr>
          <w:rFonts w:ascii="David" w:hAnsi="David" w:cs="David"/>
          <w:b/>
          <w:bCs/>
          <w:rtl/>
          <w:lang w:eastAsia="he-IL"/>
        </w:rPr>
        <w:t xml:space="preserve"> נ' מקדונלד</w:t>
      </w:r>
      <w:r w:rsidRPr="005F3228">
        <w:rPr>
          <w:rFonts w:ascii="David" w:hAnsi="David" w:cs="David"/>
          <w:rtl/>
          <w:lang w:eastAsia="he-IL"/>
        </w:rPr>
        <w:t>, פ"ד נח(4) 314</w:t>
      </w:r>
      <w:r w:rsidRPr="005F3228">
        <w:rPr>
          <w:rFonts w:ascii="David" w:hAnsi="David" w:cs="David"/>
          <w:rtl/>
        </w:rPr>
        <w:t xml:space="preserve"> (2004) (להלן: "עניין </w:t>
      </w:r>
      <w:r w:rsidRPr="005F3228">
        <w:rPr>
          <w:rFonts w:ascii="David" w:hAnsi="David" w:cs="David"/>
          <w:b/>
          <w:bCs/>
          <w:rtl/>
        </w:rPr>
        <w:t>מקדונלד</w:t>
      </w:r>
      <w:r w:rsidRPr="005F3228">
        <w:rPr>
          <w:rFonts w:ascii="David" w:hAnsi="David" w:cs="David"/>
          <w:rtl/>
        </w:rPr>
        <w:t>").</w:t>
      </w:r>
    </w:p>
  </w:footnote>
  <w:footnote w:id="14">
    <w:p w14:paraId="34EFDD6A"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בש"א (מחוזי ת"א) 18118/01 </w:t>
      </w:r>
      <w:r w:rsidRPr="005F3228">
        <w:rPr>
          <w:rFonts w:ascii="David" w:hAnsi="David" w:cs="David"/>
          <w:b/>
          <w:bCs/>
          <w:rtl/>
        </w:rPr>
        <w:t>רדיו ללא הפסקה בע"מ נ' רשות השידור</w:t>
      </w:r>
      <w:r w:rsidRPr="005F3228">
        <w:rPr>
          <w:rFonts w:ascii="David" w:hAnsi="David" w:cs="David"/>
          <w:rtl/>
        </w:rPr>
        <w:t xml:space="preserve"> (2001) (להלן: "החלטת הביניים בעניין </w:t>
      </w:r>
      <w:r w:rsidRPr="005F3228">
        <w:rPr>
          <w:rFonts w:ascii="David" w:hAnsi="David" w:cs="David"/>
          <w:b/>
          <w:bCs/>
          <w:rtl/>
        </w:rPr>
        <w:t>רדיו ללא הפסקה</w:t>
      </w:r>
      <w:r w:rsidRPr="005F3228">
        <w:rPr>
          <w:rFonts w:ascii="David" w:hAnsi="David" w:cs="David"/>
          <w:rtl/>
        </w:rPr>
        <w:t xml:space="preserve">"); </w:t>
      </w:r>
      <w:proofErr w:type="spellStart"/>
      <w:r w:rsidRPr="005F3228">
        <w:rPr>
          <w:rFonts w:ascii="David" w:hAnsi="David" w:cs="David"/>
          <w:rtl/>
        </w:rPr>
        <w:t>ה"פ</w:t>
      </w:r>
      <w:proofErr w:type="spellEnd"/>
      <w:r w:rsidRPr="005F3228">
        <w:rPr>
          <w:rFonts w:ascii="David" w:hAnsi="David" w:cs="David"/>
          <w:rtl/>
        </w:rPr>
        <w:t xml:space="preserve"> (מחוזי, ת"א) 1101/01 </w:t>
      </w:r>
      <w:r w:rsidRPr="005F3228">
        <w:rPr>
          <w:rFonts w:ascii="David" w:hAnsi="David" w:cs="David"/>
          <w:b/>
          <w:bCs/>
          <w:rtl/>
        </w:rPr>
        <w:t>רדיו ללא הפסקה בע"מ נ' רשות השידור</w:t>
      </w:r>
      <w:r w:rsidRPr="005F3228">
        <w:rPr>
          <w:rFonts w:ascii="David" w:hAnsi="David" w:cs="David"/>
          <w:rtl/>
        </w:rPr>
        <w:t xml:space="preserve"> (2001) (להלן: "</w:t>
      </w:r>
      <w:r w:rsidRPr="005F3228">
        <w:rPr>
          <w:rFonts w:ascii="David" w:hAnsi="David" w:cs="David"/>
          <w:b/>
          <w:bCs/>
          <w:rtl/>
        </w:rPr>
        <w:t>פסק דין רדיו ללא הפסקה</w:t>
      </w:r>
      <w:r w:rsidRPr="005F3228">
        <w:rPr>
          <w:rFonts w:ascii="David" w:hAnsi="David" w:cs="David"/>
          <w:rtl/>
        </w:rPr>
        <w:t xml:space="preserve">"). </w:t>
      </w:r>
    </w:p>
  </w:footnote>
  <w:footnote w:id="15">
    <w:p w14:paraId="710E0DF6"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ראו </w:t>
      </w:r>
      <w:r w:rsidRPr="005F3228">
        <w:rPr>
          <w:rFonts w:ascii="David" w:hAnsi="David" w:cs="David"/>
          <w:b/>
          <w:bCs/>
          <w:rtl/>
        </w:rPr>
        <w:t>להלן</w:t>
      </w:r>
      <w:r w:rsidRPr="005F3228">
        <w:rPr>
          <w:rFonts w:ascii="David" w:hAnsi="David" w:cs="David"/>
          <w:rtl/>
        </w:rPr>
        <w:t xml:space="preserve">, חלק ג'. </w:t>
      </w:r>
    </w:p>
  </w:footnote>
  <w:footnote w:id="16">
    <w:p w14:paraId="433A8A22" w14:textId="0E692750"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כפי שיפורט בהמשך, בפסק-הדין בעניין </w:t>
      </w:r>
      <w:proofErr w:type="spellStart"/>
      <w:r w:rsidRPr="005F3228">
        <w:rPr>
          <w:rFonts w:ascii="David" w:hAnsi="David" w:cs="David"/>
          <w:b/>
          <w:bCs/>
          <w:rtl/>
        </w:rPr>
        <w:t>א.ש.י.ר</w:t>
      </w:r>
      <w:proofErr w:type="spellEnd"/>
      <w:r w:rsidRPr="005F3228">
        <w:rPr>
          <w:rFonts w:ascii="David" w:hAnsi="David" w:cs="David"/>
          <w:b/>
          <w:bCs/>
          <w:rtl/>
        </w:rPr>
        <w:t xml:space="preserve"> </w:t>
      </w:r>
      <w:r w:rsidRPr="005F3228">
        <w:rPr>
          <w:rFonts w:ascii="David" w:hAnsi="David" w:cs="David"/>
          <w:rtl/>
        </w:rPr>
        <w:t xml:space="preserve">עמדו לדיון שלושה מקרים, אשר בשניים מתוכם התוצר הרוחני שעמד על הפרק היה עיצוב לא רשום. </w:t>
      </w:r>
      <w:r w:rsidRPr="005F3228">
        <w:rPr>
          <w:rFonts w:ascii="David" w:hAnsi="David" w:cs="David"/>
          <w:rtl/>
        </w:rPr>
        <w:t xml:space="preserve">ראו </w:t>
      </w:r>
      <w:r w:rsidRPr="005F3228">
        <w:rPr>
          <w:rFonts w:ascii="David" w:hAnsi="David" w:cs="David"/>
          <w:b/>
          <w:bCs/>
          <w:rtl/>
        </w:rPr>
        <w:t>להלן</w:t>
      </w:r>
      <w:r w:rsidRPr="005F3228">
        <w:rPr>
          <w:rFonts w:ascii="David" w:hAnsi="David" w:cs="David"/>
          <w:rtl/>
        </w:rPr>
        <w:t xml:space="preserve">, חלק א'1,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Ref27843751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24</w:t>
      </w:r>
      <w:r w:rsidRPr="005F3228">
        <w:rPr>
          <w:rFonts w:ascii="David" w:hAnsi="David" w:cs="David"/>
          <w:rtl/>
        </w:rPr>
        <w:fldChar w:fldCharType="end"/>
      </w:r>
      <w:r w:rsidRPr="005F3228">
        <w:rPr>
          <w:rFonts w:ascii="David" w:hAnsi="David" w:cs="David"/>
          <w:rtl/>
        </w:rPr>
        <w:t xml:space="preserve">. </w:t>
      </w:r>
    </w:p>
  </w:footnote>
  <w:footnote w:id="17">
    <w:p w14:paraId="37D20641"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חוק העיצובים, התשע"ז-2017 (להלן – "חוק העיצובים"). חוק העיצובים החליף את פקודת הפטנטים והמדגמים משנת 1924.</w:t>
      </w:r>
    </w:p>
  </w:footnote>
  <w:footnote w:id="18">
    <w:p w14:paraId="0F46C588"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ראו </w:t>
      </w:r>
      <w:r w:rsidRPr="005F3228">
        <w:rPr>
          <w:rFonts w:ascii="David" w:hAnsi="David" w:cs="David"/>
          <w:b/>
          <w:bCs/>
          <w:rtl/>
        </w:rPr>
        <w:t>להלן</w:t>
      </w:r>
      <w:r w:rsidRPr="005F3228">
        <w:rPr>
          <w:rFonts w:ascii="David" w:hAnsi="David" w:cs="David"/>
          <w:rtl/>
        </w:rPr>
        <w:t>, חלק ג'.</w:t>
      </w:r>
    </w:p>
  </w:footnote>
  <w:footnote w:id="19">
    <w:p w14:paraId="2914A4AF" w14:textId="77777777" w:rsidR="00F06EA1" w:rsidRPr="005F3228" w:rsidRDefault="00F06EA1" w:rsidP="000D19A0">
      <w:pPr>
        <w:pStyle w:val="FootnoteText"/>
        <w:jc w:val="both"/>
        <w:rPr>
          <w:rFonts w:ascii="David" w:hAnsi="David" w:cs="David"/>
          <w:rtl/>
        </w:rPr>
      </w:pPr>
      <w:r w:rsidRPr="005F3228">
        <w:rPr>
          <w:rFonts w:ascii="David" w:hAnsi="David" w:cs="David"/>
          <w:vertAlign w:val="superscript"/>
        </w:rPr>
        <w:footnoteRef/>
      </w:r>
      <w:r w:rsidRPr="005F3228">
        <w:rPr>
          <w:rFonts w:ascii="David" w:hAnsi="David" w:cs="David"/>
          <w:rtl/>
        </w:rPr>
        <w:t xml:space="preserve"> ת"א (מחוזי מרכז) 33666-07-11 </w:t>
      </w:r>
      <w:r w:rsidRPr="005F3228">
        <w:rPr>
          <w:rFonts w:ascii="David" w:hAnsi="David" w:cs="David"/>
          <w:b/>
          <w:bCs/>
          <w:rtl/>
        </w:rPr>
        <w:t xml:space="preserve">אוניפארם נ' </w:t>
      </w:r>
      <w:r w:rsidRPr="005F3228">
        <w:rPr>
          <w:rFonts w:ascii="David" w:hAnsi="David" w:cs="David"/>
          <w:b/>
          <w:bCs/>
        </w:rPr>
        <w:t>Sanofi</w:t>
      </w:r>
      <w:r w:rsidRPr="005F3228">
        <w:rPr>
          <w:rFonts w:ascii="David" w:hAnsi="David" w:cs="David"/>
          <w:rtl/>
        </w:rPr>
        <w:t xml:space="preserve"> (2018) (להלן: "עניין </w:t>
      </w:r>
      <w:r w:rsidRPr="005F3228">
        <w:rPr>
          <w:rFonts w:ascii="David" w:hAnsi="David" w:cs="David"/>
          <w:b/>
          <w:bCs/>
          <w:rtl/>
        </w:rPr>
        <w:t>אוניפארם</w:t>
      </w:r>
      <w:r w:rsidRPr="005F3228">
        <w:rPr>
          <w:rFonts w:ascii="David" w:hAnsi="David" w:cs="David"/>
          <w:rtl/>
        </w:rPr>
        <w:t xml:space="preserve">"). יצוין כי המקרה תלוי ועומד כעת בערעור בפני בית המשפט העליון (ע"א 2167/17 </w:t>
      </w:r>
      <w:r w:rsidRPr="005F3228">
        <w:rPr>
          <w:rFonts w:ascii="David" w:hAnsi="David" w:cs="David"/>
          <w:b/>
          <w:bCs/>
        </w:rPr>
        <w:t>Sanofi</w:t>
      </w:r>
      <w:r w:rsidRPr="005F3228">
        <w:rPr>
          <w:rFonts w:ascii="David" w:hAnsi="David" w:cs="David"/>
          <w:b/>
          <w:bCs/>
          <w:rtl/>
        </w:rPr>
        <w:t xml:space="preserve"> נ' אוניפארם</w:t>
      </w:r>
      <w:r w:rsidRPr="005F3228">
        <w:rPr>
          <w:rFonts w:ascii="David" w:hAnsi="David" w:cs="David"/>
          <w:rtl/>
        </w:rPr>
        <w:t xml:space="preserve">). </w:t>
      </w:r>
    </w:p>
  </w:footnote>
  <w:footnote w:id="20">
    <w:p w14:paraId="17FEA2D8"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ראו </w:t>
      </w:r>
      <w:r w:rsidRPr="005F3228">
        <w:rPr>
          <w:rFonts w:ascii="David" w:hAnsi="David" w:cs="David"/>
          <w:b/>
          <w:bCs/>
          <w:rtl/>
        </w:rPr>
        <w:t>להלן</w:t>
      </w:r>
      <w:r w:rsidRPr="005F3228">
        <w:rPr>
          <w:rFonts w:ascii="David" w:hAnsi="David" w:cs="David"/>
          <w:rtl/>
        </w:rPr>
        <w:t xml:space="preserve">, חלק ג'. </w:t>
      </w:r>
    </w:p>
  </w:footnote>
  <w:footnote w:id="21">
    <w:p w14:paraId="1EBA0712"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למעשה, דיני הקניין הרוחני רחבים יותר ועוסקים גם במצבים בהם לא מדובר בחיקוי. כך, למשל, בעל פטנט יכול להגיש תביעת הפרה נגד אדם שניצל את האמצאה המוגנת בפטנט אף אם הנתבע לא העתיק ממנו אלא פיתח את האמצאה באופן עצמאי. </w:t>
      </w:r>
    </w:p>
  </w:footnote>
  <w:footnote w:id="22">
    <w:p w14:paraId="61AE05C5"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סעיף 1 לחוק עשיית עושר ולא במשפט, תשל"ט-1979: "מי </w:t>
      </w:r>
      <w:r w:rsidRPr="005F3228">
        <w:rPr>
          <w:rFonts w:ascii="David" w:hAnsi="David" w:cs="David"/>
          <w:color w:val="000000"/>
          <w:rtl/>
        </w:rPr>
        <w:t xml:space="preserve">שקיבל שלא על פי זכות שבדין נכס, שירות או טובת הנאה אחרת (להלן - הזוכה) שבאו לו מאדם אחר (להלן - המזכה), חייב להשיב למזכה את </w:t>
      </w:r>
      <w:proofErr w:type="spellStart"/>
      <w:r w:rsidRPr="005F3228">
        <w:rPr>
          <w:rFonts w:ascii="David" w:hAnsi="David" w:cs="David"/>
          <w:color w:val="000000"/>
          <w:rtl/>
        </w:rPr>
        <w:t>הזכיה</w:t>
      </w:r>
      <w:proofErr w:type="spellEnd"/>
      <w:r w:rsidRPr="005F3228">
        <w:rPr>
          <w:rFonts w:ascii="David" w:hAnsi="David" w:cs="David"/>
          <w:color w:val="000000"/>
          <w:rtl/>
        </w:rPr>
        <w:t>, ואם השבה בעין בלתי אפשרית או בלתי סבירה - לשלם לו את שוויה".</w:t>
      </w:r>
      <w:r w:rsidRPr="005F3228">
        <w:rPr>
          <w:rFonts w:ascii="David" w:hAnsi="David" w:cs="David"/>
          <w:rtl/>
        </w:rPr>
        <w:t xml:space="preserve"> </w:t>
      </w:r>
    </w:p>
  </w:footnote>
  <w:footnote w:id="23">
    <w:p w14:paraId="6C20344D"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יצוין כי בשנת 1994, לפני עניין </w:t>
      </w:r>
      <w:proofErr w:type="spellStart"/>
      <w:r w:rsidRPr="005F3228">
        <w:rPr>
          <w:rFonts w:ascii="David" w:hAnsi="David" w:cs="David"/>
          <w:b/>
          <w:bCs/>
          <w:rtl/>
        </w:rPr>
        <w:t>א.ש.י.ר</w:t>
      </w:r>
      <w:proofErr w:type="spellEnd"/>
      <w:r w:rsidRPr="005F3228">
        <w:rPr>
          <w:rFonts w:ascii="David" w:hAnsi="David" w:cs="David"/>
          <w:rtl/>
        </w:rPr>
        <w:t xml:space="preserve">., ניתנה החלטה בסוגיה זו בבית המשפט המחוזי בתל אביב </w:t>
      </w:r>
      <w:proofErr w:type="spellStart"/>
      <w:r w:rsidRPr="005F3228">
        <w:rPr>
          <w:rFonts w:ascii="David" w:hAnsi="David" w:cs="David"/>
          <w:rtl/>
        </w:rPr>
        <w:t>בהמ</w:t>
      </w:r>
      <w:proofErr w:type="spellEnd"/>
      <w:r w:rsidRPr="005F3228">
        <w:rPr>
          <w:rFonts w:ascii="David" w:hAnsi="David" w:cs="David"/>
          <w:rtl/>
        </w:rPr>
        <w:t xml:space="preserve">' (ת"א) 12716/93 </w:t>
      </w:r>
      <w:r w:rsidRPr="005F3228">
        <w:rPr>
          <w:rFonts w:ascii="David" w:hAnsi="David" w:cs="David"/>
          <w:b/>
          <w:bCs/>
          <w:rtl/>
        </w:rPr>
        <w:t>אנימה אופנה בע"מ נ' בלן</w:t>
      </w:r>
      <w:r w:rsidRPr="005F3228">
        <w:rPr>
          <w:rFonts w:ascii="David" w:hAnsi="David" w:cs="David"/>
          <w:rtl/>
        </w:rPr>
        <w:t xml:space="preserve">, </w:t>
      </w:r>
      <w:proofErr w:type="spellStart"/>
      <w:r w:rsidRPr="005F3228">
        <w:rPr>
          <w:rFonts w:ascii="David" w:hAnsi="David" w:cs="David"/>
          <w:rtl/>
        </w:rPr>
        <w:t>תקדין</w:t>
      </w:r>
      <w:proofErr w:type="spellEnd"/>
      <w:r w:rsidRPr="005F3228">
        <w:rPr>
          <w:rFonts w:ascii="David" w:hAnsi="David" w:cs="David"/>
          <w:rtl/>
        </w:rPr>
        <w:t xml:space="preserve"> מחוזי 94(1) 99 (להלן – "עניין </w:t>
      </w:r>
      <w:r w:rsidRPr="005F3228">
        <w:rPr>
          <w:rFonts w:ascii="David" w:hAnsi="David" w:cs="David"/>
          <w:b/>
          <w:bCs/>
          <w:rtl/>
        </w:rPr>
        <w:t>אנימה</w:t>
      </w:r>
      <w:r w:rsidRPr="005F3228">
        <w:rPr>
          <w:rFonts w:ascii="David" w:hAnsi="David" w:cs="David"/>
          <w:rtl/>
        </w:rPr>
        <w:t xml:space="preserve">"). במקרה שנדון בעניין </w:t>
      </w:r>
      <w:r w:rsidRPr="005F3228">
        <w:rPr>
          <w:rFonts w:ascii="David" w:hAnsi="David" w:cs="David"/>
          <w:b/>
          <w:bCs/>
          <w:rtl/>
        </w:rPr>
        <w:t>אנימה</w:t>
      </w:r>
      <w:r w:rsidRPr="005F3228">
        <w:rPr>
          <w:rFonts w:ascii="David" w:hAnsi="David" w:cs="David"/>
          <w:rtl/>
        </w:rPr>
        <w:t xml:space="preserve">, קבע השופט </w:t>
      </w:r>
      <w:proofErr w:type="spellStart"/>
      <w:r w:rsidRPr="005F3228">
        <w:rPr>
          <w:rFonts w:ascii="David" w:hAnsi="David" w:cs="David"/>
          <w:rtl/>
        </w:rPr>
        <w:t>שטרוזמן</w:t>
      </w:r>
      <w:proofErr w:type="spellEnd"/>
      <w:r w:rsidRPr="005F3228">
        <w:rPr>
          <w:rFonts w:ascii="David" w:hAnsi="David" w:cs="David"/>
          <w:rtl/>
        </w:rPr>
        <w:t>, כי יש מקום להכיר בקיומה של עילה בעשיית עושר מקום שדיני הקניין הרוחני אינם מעניקים במישרין זכות וסעד לתובע (כמו בהקשר להעתקת דגמי אופנה שעמד על הפרק באותו עניין).</w:t>
      </w:r>
      <w:bookmarkStart w:id="15" w:name="_Ref25581268"/>
      <w:r w:rsidRPr="005F3228">
        <w:rPr>
          <w:rFonts w:ascii="David" w:hAnsi="David" w:cs="David"/>
          <w:rtl/>
        </w:rPr>
        <w:t xml:space="preserve"> עמדתו של השופט </w:t>
      </w:r>
      <w:proofErr w:type="spellStart"/>
      <w:r w:rsidRPr="005F3228">
        <w:rPr>
          <w:rFonts w:ascii="David" w:hAnsi="David" w:cs="David"/>
          <w:rtl/>
        </w:rPr>
        <w:t>שטרוזמן</w:t>
      </w:r>
      <w:proofErr w:type="spellEnd"/>
      <w:r w:rsidRPr="005F3228">
        <w:rPr>
          <w:rFonts w:ascii="David" w:hAnsi="David" w:cs="David"/>
          <w:rtl/>
        </w:rPr>
        <w:t xml:space="preserve"> בעניין העתקת דגמי אופנה אומצה גם בפסיקת שופטים מחוזיים נוספים. ראו, למשל: ת"א (ת"א) 146/94 </w:t>
      </w:r>
      <w:r w:rsidRPr="005F3228">
        <w:rPr>
          <w:rFonts w:ascii="David" w:hAnsi="David" w:cs="David"/>
          <w:b/>
          <w:bCs/>
          <w:rtl/>
        </w:rPr>
        <w:t xml:space="preserve">אברהם </w:t>
      </w:r>
      <w:proofErr w:type="spellStart"/>
      <w:r w:rsidRPr="005F3228">
        <w:rPr>
          <w:rFonts w:ascii="David" w:hAnsi="David" w:cs="David"/>
          <w:b/>
          <w:bCs/>
          <w:rtl/>
        </w:rPr>
        <w:t>דוקטורצ'יק</w:t>
      </w:r>
      <w:proofErr w:type="spellEnd"/>
      <w:r w:rsidRPr="005F3228">
        <w:rPr>
          <w:rFonts w:ascii="David" w:hAnsi="David" w:cs="David"/>
          <w:b/>
          <w:bCs/>
          <w:rtl/>
        </w:rPr>
        <w:t xml:space="preserve"> - </w:t>
      </w:r>
      <w:proofErr w:type="spellStart"/>
      <w:r w:rsidRPr="005F3228">
        <w:rPr>
          <w:rFonts w:ascii="David" w:hAnsi="David" w:cs="David"/>
          <w:b/>
          <w:bCs/>
          <w:rtl/>
        </w:rPr>
        <w:t>אפנת</w:t>
      </w:r>
      <w:proofErr w:type="spellEnd"/>
      <w:r w:rsidRPr="005F3228">
        <w:rPr>
          <w:rFonts w:ascii="David" w:hAnsi="David" w:cs="David"/>
          <w:b/>
          <w:bCs/>
          <w:rtl/>
        </w:rPr>
        <w:t xml:space="preserve"> מקאו נ' </w:t>
      </w:r>
      <w:proofErr w:type="spellStart"/>
      <w:r w:rsidRPr="005F3228">
        <w:rPr>
          <w:rFonts w:ascii="David" w:hAnsi="David" w:cs="David"/>
          <w:b/>
          <w:bCs/>
          <w:rtl/>
        </w:rPr>
        <w:t>טובאקו</w:t>
      </w:r>
      <w:proofErr w:type="spellEnd"/>
      <w:r w:rsidRPr="005F3228">
        <w:rPr>
          <w:rFonts w:ascii="David" w:hAnsi="David" w:cs="David"/>
          <w:b/>
          <w:bCs/>
          <w:rtl/>
        </w:rPr>
        <w:t xml:space="preserve"> קלאב אופנה בע"מ</w:t>
      </w:r>
      <w:bookmarkEnd w:id="15"/>
      <w:r w:rsidRPr="005F3228">
        <w:rPr>
          <w:rFonts w:ascii="David" w:hAnsi="David" w:cs="David"/>
          <w:rtl/>
        </w:rPr>
        <w:t xml:space="preserve"> (לא פורסם). </w:t>
      </w:r>
    </w:p>
  </w:footnote>
  <w:footnote w:id="24">
    <w:p w14:paraId="2A8350BB" w14:textId="291B3FBB"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בית המשפט העליון לא נדרש להכריע בשאלה (הקלה יותר) האם ניתן לקבל סעד נוסף מכוח דיני עשיית עושר מקום בו קיימת עילה מכוח דיני הקניין הרוחני. </w:t>
      </w:r>
      <w:r w:rsidRPr="005F3228">
        <w:rPr>
          <w:rFonts w:ascii="David" w:hAnsi="David" w:cs="David"/>
          <w:rtl/>
        </w:rPr>
        <w:t xml:space="preserve">ראו התייחסות לכך בפסק דינה של השופטת </w:t>
      </w:r>
      <w:proofErr w:type="spellStart"/>
      <w:r w:rsidRPr="005F3228">
        <w:rPr>
          <w:rFonts w:ascii="David" w:hAnsi="David" w:cs="David"/>
          <w:rtl/>
        </w:rPr>
        <w:t>שטרסברג</w:t>
      </w:r>
      <w:proofErr w:type="spellEnd"/>
      <w:r w:rsidRPr="005F3228">
        <w:rPr>
          <w:rFonts w:ascii="David" w:hAnsi="David" w:cs="David"/>
          <w:rtl/>
        </w:rPr>
        <w:t xml:space="preserve">-כהן בעניין </w:t>
      </w:r>
      <w:proofErr w:type="spellStart"/>
      <w:r w:rsidRPr="005F3228">
        <w:rPr>
          <w:rFonts w:ascii="David" w:hAnsi="David" w:cs="David"/>
          <w:b/>
          <w:bCs/>
          <w:rtl/>
        </w:rPr>
        <w:t>א.ש.י.ר</w:t>
      </w:r>
      <w:proofErr w:type="spellEnd"/>
      <w:r w:rsidRPr="005F3228">
        <w:rPr>
          <w:rFonts w:ascii="David" w:hAnsi="David" w:cs="David"/>
          <w:b/>
          <w:bCs/>
          <w:rtl/>
        </w:rPr>
        <w:t>.</w:t>
      </w:r>
      <w:r w:rsidRPr="005F3228">
        <w:rPr>
          <w:rFonts w:ascii="David" w:hAnsi="David" w:cs="David"/>
          <w:rtl/>
        </w:rPr>
        <w:t>,</w:t>
      </w:r>
      <w:r w:rsidRPr="005F3228">
        <w:rPr>
          <w:rFonts w:ascii="David" w:hAnsi="David" w:cs="David"/>
          <w:b/>
          <w:bCs/>
          <w:rtl/>
        </w:rPr>
        <w:t xml:space="preserve"> 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Ref27910357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w:t>
      </w:r>
      <w:r w:rsidRPr="005F3228">
        <w:rPr>
          <w:rFonts w:ascii="David" w:hAnsi="David" w:cs="David"/>
          <w:rtl/>
        </w:rPr>
        <w:fldChar w:fldCharType="end"/>
      </w:r>
      <w:r w:rsidRPr="005F3228">
        <w:rPr>
          <w:rFonts w:ascii="David" w:hAnsi="David" w:cs="David"/>
          <w:rtl/>
        </w:rPr>
        <w:t xml:space="preserve">, </w:t>
      </w:r>
      <w:proofErr w:type="spellStart"/>
      <w:r w:rsidRPr="005F3228">
        <w:rPr>
          <w:rFonts w:ascii="David" w:hAnsi="David" w:cs="David"/>
          <w:rtl/>
        </w:rPr>
        <w:t>בע</w:t>
      </w:r>
      <w:proofErr w:type="spellEnd"/>
      <w:r w:rsidRPr="005F3228">
        <w:rPr>
          <w:rFonts w:ascii="David" w:hAnsi="David" w:cs="David"/>
          <w:rtl/>
        </w:rPr>
        <w:t>' 418 ("</w:t>
      </w:r>
      <w:r w:rsidRPr="005F3228">
        <w:rPr>
          <w:rFonts w:ascii="David" w:hAnsi="David" w:cs="David"/>
          <w:color w:val="000000"/>
          <w:rtl/>
        </w:rPr>
        <w:t>בענייננו, פטורה אני מלדון בשאלה אם גם כאשר קמה לאדם עילה על פי דיני הקניין הרוחני, זכאי הוא לתבוע במקביל או לחילופין על פי חוק עשיית עושר. שאלה זו נכבדה היא כשלעצמה, אלא שאיננה עומדת על הפרק</w:t>
      </w:r>
      <w:r w:rsidRPr="005F3228">
        <w:rPr>
          <w:rFonts w:ascii="David" w:hAnsi="David" w:cs="David"/>
          <w:rtl/>
        </w:rPr>
        <w:t xml:space="preserve"> ..."). עם זאת, לשאלה זו ניתנה תשובה חיובית בהזדמנויות אחרות. ראו, למשל: ע"א 2972/95 </w:t>
      </w:r>
      <w:r w:rsidRPr="005F3228">
        <w:rPr>
          <w:rFonts w:ascii="David" w:hAnsi="David" w:cs="David"/>
          <w:b/>
          <w:bCs/>
          <w:rtl/>
        </w:rPr>
        <w:t>יוסף וולף ושות' בע"מ נ' דפוס בארי שותפות מוגבלת,</w:t>
      </w:r>
      <w:r w:rsidRPr="005F3228">
        <w:rPr>
          <w:rFonts w:ascii="David" w:hAnsi="David" w:cs="David"/>
          <w:rtl/>
        </w:rPr>
        <w:t xml:space="preserve"> פ"ד </w:t>
      </w:r>
      <w:proofErr w:type="spellStart"/>
      <w:r w:rsidRPr="005F3228">
        <w:rPr>
          <w:rFonts w:ascii="David" w:hAnsi="David" w:cs="David"/>
          <w:rtl/>
        </w:rPr>
        <w:t>נג</w:t>
      </w:r>
      <w:proofErr w:type="spellEnd"/>
      <w:r w:rsidRPr="005F3228">
        <w:rPr>
          <w:rFonts w:ascii="David" w:hAnsi="David" w:cs="David"/>
          <w:rtl/>
        </w:rPr>
        <w:t xml:space="preserve">(3) 472; ע"א 1636/98 </w:t>
      </w:r>
      <w:r w:rsidRPr="005F3228">
        <w:rPr>
          <w:rFonts w:ascii="David" w:hAnsi="David" w:cs="David"/>
          <w:b/>
          <w:bCs/>
          <w:rtl/>
        </w:rPr>
        <w:t xml:space="preserve">רב בריח בע"מ נ' בית מסחר לאביזרי רכב </w:t>
      </w:r>
      <w:proofErr w:type="spellStart"/>
      <w:r w:rsidRPr="005F3228">
        <w:rPr>
          <w:rFonts w:ascii="David" w:hAnsi="David" w:cs="David"/>
          <w:b/>
          <w:bCs/>
          <w:rtl/>
        </w:rPr>
        <w:t>חבשוש</w:t>
      </w:r>
      <w:proofErr w:type="spellEnd"/>
      <w:r w:rsidRPr="005F3228">
        <w:rPr>
          <w:rFonts w:ascii="David" w:hAnsi="David" w:cs="David"/>
          <w:b/>
          <w:bCs/>
          <w:rtl/>
        </w:rPr>
        <w:t xml:space="preserve"> (1987) בע"מ</w:t>
      </w:r>
      <w:r w:rsidRPr="005F3228">
        <w:rPr>
          <w:rFonts w:ascii="David" w:hAnsi="David" w:cs="David"/>
          <w:rtl/>
        </w:rPr>
        <w:t xml:space="preserve">, פ"ד </w:t>
      </w:r>
      <w:proofErr w:type="spellStart"/>
      <w:r w:rsidRPr="005F3228">
        <w:rPr>
          <w:rFonts w:ascii="David" w:hAnsi="David" w:cs="David"/>
          <w:rtl/>
        </w:rPr>
        <w:t>נה</w:t>
      </w:r>
      <w:proofErr w:type="spellEnd"/>
      <w:r w:rsidRPr="005F3228">
        <w:rPr>
          <w:rFonts w:ascii="David" w:hAnsi="David" w:cs="David"/>
          <w:rtl/>
        </w:rPr>
        <w:t xml:space="preserve">(5) 337; ת"א (ת"א) 881/94 </w:t>
      </w:r>
      <w:r w:rsidRPr="005F3228">
        <w:rPr>
          <w:rFonts w:ascii="David" w:hAnsi="David" w:cs="David"/>
          <w:b/>
          <w:bCs/>
        </w:rPr>
        <w:t>Eli Lilly and Company</w:t>
      </w:r>
      <w:r w:rsidRPr="005F3228">
        <w:rPr>
          <w:rFonts w:ascii="David" w:hAnsi="David" w:cs="David"/>
          <w:b/>
          <w:bCs/>
          <w:rtl/>
        </w:rPr>
        <w:t xml:space="preserve"> נ' טבע תעשיות פרמצבטיות בע"מ</w:t>
      </w:r>
      <w:r w:rsidRPr="005F3228">
        <w:rPr>
          <w:rFonts w:ascii="David" w:hAnsi="David" w:cs="David"/>
          <w:rtl/>
        </w:rPr>
        <w:t xml:space="preserve"> (לא פורסם). </w:t>
      </w:r>
    </w:p>
  </w:footnote>
  <w:footnote w:id="25">
    <w:p w14:paraId="0ABCD8FF" w14:textId="6D500B42"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המונח "מדגם" שהיה קיים בפקודת הפטנטים והמדגמים 1924 הוחלף במונח "עיצוב", עם קבלת חוק העיצובים, </w:t>
      </w:r>
      <w:r w:rsidRPr="005F3228">
        <w:rPr>
          <w:rFonts w:ascii="David" w:hAnsi="David" w:cs="David"/>
          <w:b/>
          <w:bCs/>
          <w:rtl/>
        </w:rPr>
        <w:t xml:space="preserve">לעיל </w:t>
      </w:r>
      <w:r w:rsidRPr="005F3228">
        <w:rPr>
          <w:rFonts w:ascii="David" w:hAnsi="David" w:cs="David"/>
          <w:rtl/>
        </w:rPr>
        <w:t xml:space="preserve">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Ref28465732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15</w:t>
      </w:r>
      <w:r w:rsidRPr="005F3228">
        <w:rPr>
          <w:rFonts w:ascii="David" w:hAnsi="David" w:cs="David"/>
          <w:rtl/>
        </w:rPr>
        <w:fldChar w:fldCharType="end"/>
      </w:r>
      <w:r w:rsidRPr="005F3228">
        <w:rPr>
          <w:rFonts w:ascii="David" w:hAnsi="David" w:cs="David"/>
          <w:rtl/>
        </w:rPr>
        <w:t>.</w:t>
      </w:r>
    </w:p>
  </w:footnote>
  <w:footnote w:id="26">
    <w:p w14:paraId="09DD77EC"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בעניין </w:t>
      </w:r>
      <w:proofErr w:type="spellStart"/>
      <w:r w:rsidRPr="005F3228">
        <w:rPr>
          <w:rFonts w:ascii="David" w:hAnsi="David" w:cs="David"/>
          <w:b/>
          <w:bCs/>
          <w:rtl/>
        </w:rPr>
        <w:t>א.ש.י.ר</w:t>
      </w:r>
      <w:proofErr w:type="spellEnd"/>
      <w:r w:rsidRPr="005F3228">
        <w:rPr>
          <w:rFonts w:ascii="David" w:hAnsi="David" w:cs="David"/>
          <w:b/>
          <w:bCs/>
          <w:rtl/>
        </w:rPr>
        <w:t>. יבוא יצור והפצה נ' פורום אביזרים ומוצרי צריכה בע"מ</w:t>
      </w:r>
      <w:r w:rsidRPr="005F3228">
        <w:rPr>
          <w:rFonts w:ascii="David" w:hAnsi="David" w:cs="David"/>
          <w:rtl/>
        </w:rPr>
        <w:t xml:space="preserve"> הועתק עיצובם של אביזרי אמבטיה מפלסטיק; בעניין </w:t>
      </w:r>
      <w:r w:rsidRPr="005F3228">
        <w:rPr>
          <w:rFonts w:ascii="David" w:hAnsi="David" w:cs="David"/>
          <w:b/>
          <w:bCs/>
          <w:rtl/>
        </w:rPr>
        <w:t>הרר נ' שוהם מכונות ומבלטים בע"מ</w:t>
      </w:r>
      <w:r w:rsidRPr="005F3228">
        <w:rPr>
          <w:rFonts w:ascii="David" w:hAnsi="David" w:cs="David"/>
          <w:rtl/>
        </w:rPr>
        <w:t xml:space="preserve"> הועתק עיצובו של מבלט המשמש כציוד לעיבוד ולחיתוך אלומיניום; ובעניין </w:t>
      </w:r>
      <w:r w:rsidRPr="005F3228">
        <w:rPr>
          <w:rFonts w:ascii="David" w:hAnsi="David" w:cs="David"/>
          <w:b/>
          <w:bCs/>
          <w:rtl/>
        </w:rPr>
        <w:t xml:space="preserve">אתר תעשיות פלסטיק בע"מ נ' שי מפעל אלבומים ומוצרי </w:t>
      </w:r>
      <w:proofErr w:type="spellStart"/>
      <w:r w:rsidRPr="005F3228">
        <w:rPr>
          <w:rFonts w:ascii="David" w:hAnsi="David" w:cs="David"/>
          <w:b/>
          <w:bCs/>
          <w:rtl/>
        </w:rPr>
        <w:t>פירסום</w:t>
      </w:r>
      <w:proofErr w:type="spellEnd"/>
      <w:r w:rsidRPr="005F3228">
        <w:rPr>
          <w:rFonts w:ascii="David" w:hAnsi="David" w:cs="David"/>
          <w:b/>
          <w:bCs/>
          <w:rtl/>
        </w:rPr>
        <w:t xml:space="preserve"> בע"מ</w:t>
      </w:r>
      <w:r w:rsidRPr="005F3228">
        <w:rPr>
          <w:rFonts w:ascii="David" w:hAnsi="David" w:cs="David"/>
          <w:rtl/>
        </w:rPr>
        <w:t xml:space="preserve"> הועתקה שיטה לייצור אלבומי תמונות המשלבים כריכת </w:t>
      </w:r>
      <w:proofErr w:type="spellStart"/>
      <w:r w:rsidRPr="005F3228">
        <w:rPr>
          <w:rFonts w:ascii="David" w:hAnsi="David" w:cs="David"/>
          <w:rtl/>
        </w:rPr>
        <w:t>פי.וי.סי</w:t>
      </w:r>
      <w:proofErr w:type="spellEnd"/>
      <w:r w:rsidRPr="005F3228">
        <w:rPr>
          <w:rFonts w:ascii="David" w:hAnsi="David" w:cs="David"/>
          <w:rtl/>
        </w:rPr>
        <w:t xml:space="preserve">. רכה עם דפי אלבום </w:t>
      </w:r>
      <w:proofErr w:type="spellStart"/>
      <w:r w:rsidRPr="005F3228">
        <w:rPr>
          <w:rFonts w:ascii="David" w:hAnsi="David" w:cs="David"/>
          <w:rtl/>
        </w:rPr>
        <w:t>מפוליפרופילן</w:t>
      </w:r>
      <w:proofErr w:type="spellEnd"/>
      <w:r w:rsidRPr="005F3228">
        <w:rPr>
          <w:rFonts w:ascii="David" w:hAnsi="David" w:cs="David"/>
          <w:rtl/>
        </w:rPr>
        <w:t xml:space="preserve">. בכל אחת מן הפרשות הללו העניק בית המשפט המחוזי בתל-אביב לתובעים צו מניעה זמני האוסר על הנתבעים להעתיק את מוצריהם מכוח דיני עשיית עושר ולא במשפט. החלטות אלה עמדו למבחן בבית המשפט העליון בעניין </w:t>
      </w:r>
      <w:proofErr w:type="spellStart"/>
      <w:r w:rsidRPr="005F3228">
        <w:rPr>
          <w:rFonts w:ascii="David" w:hAnsi="David" w:cs="David"/>
          <w:rtl/>
        </w:rPr>
        <w:t>א.ש.י.ר</w:t>
      </w:r>
      <w:proofErr w:type="spellEnd"/>
      <w:r w:rsidRPr="005F3228">
        <w:rPr>
          <w:rFonts w:ascii="David" w:hAnsi="David" w:cs="David"/>
          <w:rtl/>
        </w:rPr>
        <w:t xml:space="preserve">. </w:t>
      </w:r>
    </w:p>
  </w:footnote>
  <w:footnote w:id="27">
    <w:p w14:paraId="104E3E94" w14:textId="38845E6C"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ראו </w:t>
      </w:r>
      <w:r w:rsidRPr="005F3228">
        <w:rPr>
          <w:rFonts w:ascii="David" w:hAnsi="David" w:cs="David"/>
          <w:b/>
          <w:bCs/>
          <w:rtl/>
        </w:rPr>
        <w:t>להלן</w:t>
      </w:r>
      <w:r w:rsidRPr="005F3228">
        <w:rPr>
          <w:rFonts w:ascii="David" w:hAnsi="David" w:cs="David"/>
          <w:rtl/>
        </w:rPr>
        <w:t xml:space="preserve">, הערות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Ref27912067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34</w:t>
      </w:r>
      <w:r w:rsidRPr="005F3228">
        <w:rPr>
          <w:rFonts w:ascii="David" w:hAnsi="David" w:cs="David"/>
          <w:rtl/>
        </w:rPr>
        <w:fldChar w:fldCharType="end"/>
      </w:r>
      <w:r w:rsidRPr="005F3228">
        <w:rPr>
          <w:rFonts w:ascii="David" w:hAnsi="David" w:cs="David"/>
          <w:rtl/>
        </w:rPr>
        <w:t>-</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Ref27912070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35</w:t>
      </w:r>
      <w:r w:rsidRPr="005F3228">
        <w:rPr>
          <w:rFonts w:ascii="David" w:hAnsi="David" w:cs="David"/>
          <w:rtl/>
        </w:rPr>
        <w:fldChar w:fldCharType="end"/>
      </w:r>
      <w:r w:rsidRPr="005F3228">
        <w:rPr>
          <w:rFonts w:ascii="David" w:hAnsi="David" w:cs="David"/>
          <w:rtl/>
        </w:rPr>
        <w:t xml:space="preserve"> והטקסט לידן. </w:t>
      </w:r>
    </w:p>
  </w:footnote>
  <w:footnote w:id="28">
    <w:p w14:paraId="24C35CD4" w14:textId="7DF56CB4"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Pr>
        <w:t xml:space="preserve"> </w:t>
      </w:r>
      <w:r w:rsidRPr="005F3228">
        <w:rPr>
          <w:rFonts w:ascii="David" w:hAnsi="David" w:cs="David"/>
          <w:rtl/>
        </w:rPr>
        <w:t xml:space="preserve">עניין </w:t>
      </w:r>
      <w:proofErr w:type="spellStart"/>
      <w:r w:rsidRPr="005F3228">
        <w:rPr>
          <w:rFonts w:ascii="David" w:hAnsi="David" w:cs="David"/>
          <w:b/>
          <w:bCs/>
          <w:rtl/>
        </w:rPr>
        <w:t>א.ש.י.ר</w:t>
      </w:r>
      <w:proofErr w:type="spellEnd"/>
      <w:r w:rsidRPr="005F3228">
        <w:rPr>
          <w:rFonts w:ascii="David" w:hAnsi="David" w:cs="David"/>
          <w:b/>
          <w:bCs/>
          <w:rtl/>
        </w:rPr>
        <w:t>.</w:t>
      </w:r>
      <w:r w:rsidRPr="005F3228">
        <w:rPr>
          <w:rFonts w:ascii="David" w:hAnsi="David" w:cs="David"/>
          <w:rtl/>
        </w:rPr>
        <w:t>,</w:t>
      </w:r>
      <w:r w:rsidRPr="005F3228">
        <w:rPr>
          <w:rFonts w:ascii="David" w:hAnsi="David" w:cs="David"/>
          <w:b/>
          <w:bCs/>
          <w:rtl/>
        </w:rPr>
        <w:t xml:space="preserve"> 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Ref27910357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w:t>
      </w:r>
      <w:r w:rsidRPr="005F3228">
        <w:rPr>
          <w:rFonts w:ascii="David" w:hAnsi="David" w:cs="David"/>
          <w:rtl/>
        </w:rPr>
        <w:fldChar w:fldCharType="end"/>
      </w:r>
      <w:r w:rsidRPr="005F3228">
        <w:rPr>
          <w:rFonts w:ascii="David" w:hAnsi="David" w:cs="David"/>
          <w:rtl/>
        </w:rPr>
        <w:t>, בעמ' 423-24.</w:t>
      </w:r>
    </w:p>
  </w:footnote>
  <w:footnote w:id="29">
    <w:p w14:paraId="75CCF92B"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b/>
          <w:bCs/>
          <w:rtl/>
        </w:rPr>
        <w:t>שם</w:t>
      </w:r>
      <w:r w:rsidRPr="005F3228">
        <w:rPr>
          <w:rFonts w:ascii="David" w:hAnsi="David" w:cs="David"/>
          <w:rtl/>
        </w:rPr>
        <w:t>, בעמ' 494.</w:t>
      </w:r>
    </w:p>
  </w:footnote>
  <w:footnote w:id="30">
    <w:p w14:paraId="537FE3C0"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כך, למשל, עמדה השופטת </w:t>
      </w:r>
      <w:proofErr w:type="spellStart"/>
      <w:r w:rsidRPr="005F3228">
        <w:rPr>
          <w:rFonts w:ascii="David" w:hAnsi="David" w:cs="David"/>
          <w:rtl/>
        </w:rPr>
        <w:t>שטרסברג</w:t>
      </w:r>
      <w:proofErr w:type="spellEnd"/>
      <w:r w:rsidRPr="005F3228">
        <w:rPr>
          <w:rFonts w:ascii="David" w:hAnsi="David" w:cs="David"/>
          <w:rtl/>
        </w:rPr>
        <w:t xml:space="preserve">-כהן על כך, שאין בהחלת דיני עשיית עושר לצד דיני הקניין הרוחני משום התערבות בדיני הקניין הרוחני עצמם, שכן דיני עשיית עושר מגנים על אינטרסים שונים ומעניקים סעדים שונים מאלה המוענקים בדיני הקניין הרוחני. מי שרושם את זכותו תחת דיני הקניין הרוחני נהנה מהגנה כמעט מוחלטת הקבועה בדין לזמן נתון ממושך, כאשר </w:t>
      </w:r>
      <w:proofErr w:type="spellStart"/>
      <w:r w:rsidRPr="005F3228">
        <w:rPr>
          <w:rFonts w:ascii="David" w:hAnsi="David" w:cs="David"/>
          <w:rtl/>
        </w:rPr>
        <w:t>סעדיו</w:t>
      </w:r>
      <w:proofErr w:type="spellEnd"/>
      <w:r w:rsidRPr="005F3228">
        <w:rPr>
          <w:rFonts w:ascii="David" w:hAnsi="David" w:cs="David"/>
          <w:rtl/>
        </w:rPr>
        <w:t xml:space="preserve"> ברורים וחד-משמעיים וההגנה מתפרסת על פני כל הארץ ולעתים אף מחוצה לה. לעומת זאת, מי שלא נכנס לגדר דיני הקניין הרוחני, תיבדק זכותו "בזכוכית מגדלת", כאשר יהא עליו להוכיח מספר רב של יסודות על-מנת לבסס עילה בעשיית עושר, וגם אז, עדיין לא ברור שיזכה בסעד. </w:t>
      </w:r>
      <w:r w:rsidRPr="005F3228">
        <w:rPr>
          <w:rFonts w:ascii="David" w:hAnsi="David" w:cs="David"/>
          <w:b/>
          <w:bCs/>
          <w:rtl/>
        </w:rPr>
        <w:t>שם</w:t>
      </w:r>
      <w:r w:rsidRPr="005F3228">
        <w:rPr>
          <w:rFonts w:ascii="David" w:hAnsi="David" w:cs="David"/>
          <w:rtl/>
        </w:rPr>
        <w:t xml:space="preserve">, בעמ' 424-25. בדומה לכך, עמד הנשיא ברק על כך שלהבדיל מבעליו של קניין רוחני, יוצר או ממציא שאינו נהנה מקניין רוחני נתון תמיד לסיכון של העתקה או חיקוי, אשר אינם מהווים, כשלעצמם, עשיית עושר. </w:t>
      </w:r>
      <w:r w:rsidRPr="005F3228">
        <w:rPr>
          <w:rFonts w:ascii="David" w:hAnsi="David" w:cs="David"/>
          <w:b/>
          <w:bCs/>
          <w:rtl/>
        </w:rPr>
        <w:t>שם</w:t>
      </w:r>
      <w:r w:rsidRPr="005F3228">
        <w:rPr>
          <w:rFonts w:ascii="David" w:hAnsi="David" w:cs="David"/>
          <w:rtl/>
        </w:rPr>
        <w:t>, בעמ' 482.</w:t>
      </w:r>
    </w:p>
  </w:footnote>
  <w:footnote w:id="31">
    <w:p w14:paraId="6C5123C6"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b/>
          <w:bCs/>
          <w:rtl/>
        </w:rPr>
        <w:t>שם</w:t>
      </w:r>
      <w:r w:rsidRPr="005F3228">
        <w:rPr>
          <w:rFonts w:ascii="David" w:hAnsi="David" w:cs="David"/>
          <w:rtl/>
        </w:rPr>
        <w:t xml:space="preserve">, בעמ' 484.  </w:t>
      </w:r>
    </w:p>
  </w:footnote>
  <w:footnote w:id="32">
    <w:p w14:paraId="7FD659C3"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מקורה של דרישת "היסוד הנוסף" ביסוד "שלא על פי זכות שבדין" שבסעיף 1 לחוק עשיית עושר ולא במשפט. לדיון בדרישה זו, קודם להלכת </w:t>
      </w:r>
      <w:proofErr w:type="spellStart"/>
      <w:r w:rsidRPr="005F3228">
        <w:rPr>
          <w:rFonts w:ascii="David" w:hAnsi="David" w:cs="David"/>
          <w:rtl/>
        </w:rPr>
        <w:t>א.ש.י.ר</w:t>
      </w:r>
      <w:proofErr w:type="spellEnd"/>
      <w:r w:rsidRPr="005F3228">
        <w:rPr>
          <w:rFonts w:ascii="David" w:hAnsi="David" w:cs="David"/>
          <w:rtl/>
        </w:rPr>
        <w:t xml:space="preserve">. ראו רע"א 371/89 </w:t>
      </w:r>
      <w:proofErr w:type="spellStart"/>
      <w:r w:rsidRPr="005F3228">
        <w:rPr>
          <w:rFonts w:ascii="David" w:hAnsi="David" w:cs="David"/>
          <w:b/>
          <w:bCs/>
          <w:rtl/>
        </w:rPr>
        <w:t>ליבוביץ</w:t>
      </w:r>
      <w:proofErr w:type="spellEnd"/>
      <w:r w:rsidRPr="005F3228">
        <w:rPr>
          <w:rFonts w:ascii="David" w:hAnsi="David" w:cs="David"/>
          <w:b/>
          <w:bCs/>
          <w:rtl/>
        </w:rPr>
        <w:t xml:space="preserve"> נ' א. את י. אליהו בע"מ</w:t>
      </w:r>
      <w:r w:rsidRPr="005F3228">
        <w:rPr>
          <w:rFonts w:ascii="David" w:hAnsi="David" w:cs="David"/>
          <w:rtl/>
        </w:rPr>
        <w:t xml:space="preserve">, פ"ד מד(2) 309) (להלן: "עניין </w:t>
      </w:r>
      <w:proofErr w:type="spellStart"/>
      <w:r w:rsidRPr="005F3228">
        <w:rPr>
          <w:rFonts w:ascii="David" w:hAnsi="David" w:cs="David"/>
          <w:b/>
          <w:bCs/>
          <w:rtl/>
        </w:rPr>
        <w:t>ליבוביץ</w:t>
      </w:r>
      <w:proofErr w:type="spellEnd"/>
      <w:r w:rsidRPr="005F3228">
        <w:rPr>
          <w:rFonts w:ascii="David" w:hAnsi="David" w:cs="David"/>
          <w:rtl/>
        </w:rPr>
        <w:t>"), שם נידונה סוגיית היחסים שבין מפיץ בלעדי לבין מתחרים העוסקים בייבוא מקביל. בית המשפט קבע שם, כי כאשר מתבקש סעד בעשיית עושר בגין פגיעה בציפייה מסחרית גרידא (להבדיל מפגיעה בזכות "ממוסדת"), על התובע לבסס קיומו של יסוד נוסף (</w:t>
      </w:r>
      <w:r w:rsidRPr="005F3228">
        <w:rPr>
          <w:rFonts w:ascii="David" w:hAnsi="David" w:cs="David"/>
          <w:b/>
          <w:bCs/>
          <w:rtl/>
        </w:rPr>
        <w:t>שם</w:t>
      </w:r>
      <w:r w:rsidRPr="005F3228">
        <w:rPr>
          <w:rFonts w:ascii="David" w:hAnsi="David" w:cs="David"/>
          <w:rtl/>
        </w:rPr>
        <w:t xml:space="preserve">, </w:t>
      </w:r>
      <w:proofErr w:type="spellStart"/>
      <w:r w:rsidRPr="005F3228">
        <w:rPr>
          <w:rFonts w:ascii="David" w:hAnsi="David" w:cs="David"/>
          <w:rtl/>
        </w:rPr>
        <w:t>בע</w:t>
      </w:r>
      <w:proofErr w:type="spellEnd"/>
      <w:r w:rsidRPr="005F3228">
        <w:rPr>
          <w:rFonts w:ascii="David" w:hAnsi="David" w:cs="David"/>
          <w:rtl/>
        </w:rPr>
        <w:t xml:space="preserve">' 329-330). פסק הדין בעניין </w:t>
      </w:r>
      <w:proofErr w:type="spellStart"/>
      <w:r w:rsidRPr="005F3228">
        <w:rPr>
          <w:rFonts w:ascii="David" w:hAnsi="David" w:cs="David"/>
          <w:b/>
          <w:bCs/>
          <w:rtl/>
        </w:rPr>
        <w:t>ליבוביץ</w:t>
      </w:r>
      <w:proofErr w:type="spellEnd"/>
      <w:r w:rsidRPr="005F3228">
        <w:rPr>
          <w:rFonts w:ascii="David" w:hAnsi="David" w:cs="David"/>
          <w:rtl/>
        </w:rPr>
        <w:t xml:space="preserve"> נתפס בעיני רבים כהלכה היסודית בה הכיר בית המשפט העליון בדיני עשיית עושר כבסיס אפשרי להסדרת יחסים בין מתחרים בשוק. בהקשר זה, ראו: עופר </w:t>
      </w:r>
      <w:proofErr w:type="spellStart"/>
      <w:r w:rsidRPr="005F3228">
        <w:rPr>
          <w:rFonts w:ascii="David" w:hAnsi="David" w:cs="David"/>
          <w:rtl/>
        </w:rPr>
        <w:t>גרוסקופף</w:t>
      </w:r>
      <w:proofErr w:type="spellEnd"/>
      <w:r w:rsidRPr="005F3228">
        <w:rPr>
          <w:rFonts w:ascii="David" w:hAnsi="David" w:cs="David"/>
          <w:rtl/>
        </w:rPr>
        <w:t xml:space="preserve"> </w:t>
      </w:r>
      <w:r w:rsidRPr="005F3228">
        <w:rPr>
          <w:rFonts w:ascii="David" w:hAnsi="David" w:cs="David"/>
          <w:b/>
          <w:bCs/>
          <w:rtl/>
        </w:rPr>
        <w:t>הגנה על כללי תחרות באמצעות דיני עשיית עושר ולא במשפט</w:t>
      </w:r>
      <w:r w:rsidRPr="005F3228">
        <w:rPr>
          <w:rFonts w:ascii="David" w:hAnsi="David" w:cs="David"/>
          <w:rtl/>
        </w:rPr>
        <w:t xml:space="preserve"> (תשס"ב) 272. </w:t>
      </w:r>
    </w:p>
  </w:footnote>
  <w:footnote w:id="33">
    <w:p w14:paraId="5D3E9156" w14:textId="0F805740"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עניין </w:t>
      </w:r>
      <w:proofErr w:type="spellStart"/>
      <w:r w:rsidRPr="005F3228">
        <w:rPr>
          <w:rFonts w:ascii="David" w:hAnsi="David" w:cs="David"/>
          <w:b/>
          <w:bCs/>
          <w:rtl/>
        </w:rPr>
        <w:t>א.ש.י.ר</w:t>
      </w:r>
      <w:proofErr w:type="spellEnd"/>
      <w:r w:rsidRPr="005F3228">
        <w:rPr>
          <w:rFonts w:ascii="David" w:hAnsi="David" w:cs="David"/>
          <w:b/>
          <w:bCs/>
          <w:rtl/>
        </w:rPr>
        <w:t>.</w:t>
      </w:r>
      <w:r w:rsidRPr="005F3228">
        <w:rPr>
          <w:rFonts w:ascii="David" w:hAnsi="David" w:cs="David"/>
          <w:rtl/>
        </w:rPr>
        <w:t>,</w:t>
      </w:r>
      <w:r w:rsidRPr="005F3228">
        <w:rPr>
          <w:rFonts w:ascii="David" w:hAnsi="David" w:cs="David"/>
          <w:b/>
          <w:bCs/>
          <w:rtl/>
        </w:rPr>
        <w:t xml:space="preserve"> 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Ref27910357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w:t>
      </w:r>
      <w:r w:rsidRPr="005F3228">
        <w:rPr>
          <w:rFonts w:ascii="David" w:hAnsi="David" w:cs="David"/>
          <w:rtl/>
        </w:rPr>
        <w:fldChar w:fldCharType="end"/>
      </w:r>
      <w:r w:rsidRPr="005F3228">
        <w:rPr>
          <w:rFonts w:ascii="David" w:hAnsi="David" w:cs="David"/>
          <w:rtl/>
        </w:rPr>
        <w:t xml:space="preserve">, </w:t>
      </w:r>
      <w:proofErr w:type="spellStart"/>
      <w:r w:rsidRPr="005F3228">
        <w:rPr>
          <w:rFonts w:ascii="David" w:hAnsi="David" w:cs="David"/>
          <w:rtl/>
        </w:rPr>
        <w:t>בע</w:t>
      </w:r>
      <w:proofErr w:type="spellEnd"/>
      <w:r w:rsidRPr="005F3228">
        <w:rPr>
          <w:rFonts w:ascii="David" w:hAnsi="David" w:cs="David"/>
          <w:rtl/>
        </w:rPr>
        <w:t xml:space="preserve">' 431. לגישתה של השופטת </w:t>
      </w:r>
      <w:proofErr w:type="spellStart"/>
      <w:r w:rsidRPr="005F3228">
        <w:rPr>
          <w:rFonts w:ascii="David" w:hAnsi="David" w:cs="David"/>
          <w:rtl/>
        </w:rPr>
        <w:t>שטרסברג</w:t>
      </w:r>
      <w:proofErr w:type="spellEnd"/>
      <w:r w:rsidRPr="005F3228">
        <w:rPr>
          <w:rFonts w:ascii="David" w:hAnsi="David" w:cs="David"/>
          <w:rtl/>
        </w:rPr>
        <w:t xml:space="preserve">-כהן, התוצר הרוחני המועתק צריך להיות מסוים, ניתן להגדרה, חדשני, ייחודי ויישומי וכזה שבעליו עשו בו (או שבכוונתם לעשות בו) שימוש. ככל שהמאמץ והמשאבים שהושקעו במוצר המועתק רבים יותר, כך יהיה היצרן ראוי יותר לזכות בהגנה. שיקול רלבנטי נוסף לגישתה הוא השאלה אם ה"נכס" נחשף לציבור. זאת ועוד, על הזוכה להיות מודע לכך שהוא מעתיק מוצר פרי רעיון של אחר. חוסר תום-לב מצד המעתיק יכול להתבטא גם במודעותו לרצונו של היצרן המקורי להפיק רווחים מן הרעיון שבמוצר המועתק או ליהנות מייצור בלעדי. </w:t>
      </w:r>
    </w:p>
  </w:footnote>
  <w:footnote w:id="34">
    <w:p w14:paraId="445A880D" w14:textId="1861E98B"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עניין </w:t>
      </w:r>
      <w:proofErr w:type="spellStart"/>
      <w:r w:rsidRPr="005F3228">
        <w:rPr>
          <w:rFonts w:ascii="David" w:hAnsi="David" w:cs="David"/>
          <w:b/>
          <w:bCs/>
          <w:rtl/>
        </w:rPr>
        <w:t>א.ש.י.ר</w:t>
      </w:r>
      <w:proofErr w:type="spellEnd"/>
      <w:r w:rsidRPr="005F3228">
        <w:rPr>
          <w:rFonts w:ascii="David" w:hAnsi="David" w:cs="David"/>
          <w:b/>
          <w:bCs/>
          <w:rtl/>
        </w:rPr>
        <w:t>.</w:t>
      </w:r>
      <w:r w:rsidRPr="005F3228">
        <w:rPr>
          <w:rFonts w:ascii="David" w:hAnsi="David" w:cs="David"/>
          <w:rtl/>
        </w:rPr>
        <w:t>,</w:t>
      </w:r>
      <w:r w:rsidRPr="005F3228">
        <w:rPr>
          <w:rFonts w:ascii="David" w:hAnsi="David" w:cs="David"/>
          <w:b/>
          <w:bCs/>
          <w:rtl/>
        </w:rPr>
        <w:t xml:space="preserve"> 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Ref27910357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w:t>
      </w:r>
      <w:r w:rsidRPr="005F3228">
        <w:rPr>
          <w:rFonts w:ascii="David" w:hAnsi="David" w:cs="David"/>
          <w:rtl/>
        </w:rPr>
        <w:fldChar w:fldCharType="end"/>
      </w:r>
      <w:r w:rsidRPr="005F3228">
        <w:rPr>
          <w:rFonts w:ascii="David" w:hAnsi="David" w:cs="David"/>
          <w:rtl/>
        </w:rPr>
        <w:t xml:space="preserve">, </w:t>
      </w:r>
      <w:proofErr w:type="spellStart"/>
      <w:r w:rsidRPr="005F3228">
        <w:rPr>
          <w:rFonts w:ascii="David" w:hAnsi="David" w:cs="David"/>
          <w:rtl/>
        </w:rPr>
        <w:t>בע</w:t>
      </w:r>
      <w:proofErr w:type="spellEnd"/>
      <w:r w:rsidRPr="005F3228">
        <w:rPr>
          <w:rFonts w:ascii="David" w:hAnsi="David" w:cs="David"/>
          <w:rtl/>
        </w:rPr>
        <w:t xml:space="preserve">' 450. לגישתו של הנשיא ברק, היסוד הנוסף מתקיים כאשר פעולת החיקוי או ההעתקה נעשתה תוך הפרת עקרון תום-הלב האובייקטיבי, דבר שיקרה כאשר הפעולה נעשתה בנסיבות של תחרות לא הוגנת וכן במספר מקרים נוספים בהם מופרות הלכות המסחר ההוגן. ככל שהיצירה היא חשובה יותר, חדשנית יותר, ייחודית יותר ובעלת תרומה מהותית יותר, כן תהא נטייה גדולה יותר לראות בחיקויה או בהעתקתה משום תחרות בלתי הוגנת. כן יש להתחשב במאמץ שהשקיעו היוצר והמעתיק, </w:t>
      </w:r>
      <w:proofErr w:type="spellStart"/>
      <w:r w:rsidRPr="005F3228">
        <w:rPr>
          <w:rFonts w:ascii="David" w:hAnsi="David" w:cs="David"/>
          <w:rtl/>
        </w:rPr>
        <w:t>באיטנסיביות</w:t>
      </w:r>
      <w:proofErr w:type="spellEnd"/>
      <w:r w:rsidRPr="005F3228">
        <w:rPr>
          <w:rFonts w:ascii="David" w:hAnsi="David" w:cs="David"/>
          <w:rtl/>
        </w:rPr>
        <w:t xml:space="preserve"> ההעתקה או החיקוי, ובמצבו הנפשי של המתחרה, שהעתיק או חיקה מוצר של יצרן. עניין אחר שיש להתחשב בו בקביעת חוסר ההגינות של התחרות הוא בקיומן של חלופות להעתקה. בנוסף לכך, יש לבחון את תוצאות ההעתקה או החיקוי. במקרים שבהם תוצאת ההעתקה או החיקוי הנה הרתעה אפשרית של יצרנים מלפתח מוצרים ומלהשקיע בטכנולוגיות חדשות לשם קידום היעילות והתחרות, כי אז תגבר הנטייה לראות בהעתקה וחיקוי אלה, הגורמים ל"כשל שוק", תחרות לא הוגנת. כך, למשל, ייתכנו מצבים בהם ראוי כי היצרן ייהנה מבלעדיות זמנית לשם כיסוי הוצאות המחקר והפיתוח, כאשר פגיעה בבלעדיות זו יש בה סממן בולט של חוסר הגינות. </w:t>
      </w:r>
      <w:r w:rsidRPr="005F3228">
        <w:rPr>
          <w:rFonts w:ascii="David" w:hAnsi="David" w:cs="David"/>
          <w:b/>
          <w:bCs/>
          <w:rtl/>
        </w:rPr>
        <w:t>שם</w:t>
      </w:r>
      <w:r w:rsidRPr="005F3228">
        <w:rPr>
          <w:rFonts w:ascii="David" w:hAnsi="David" w:cs="David"/>
          <w:rtl/>
        </w:rPr>
        <w:t>, בעמ' 450.</w:t>
      </w:r>
    </w:p>
  </w:footnote>
  <w:footnote w:id="35">
    <w:p w14:paraId="60224592"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חומרה כזאת תתקיים לגישתו כאשר המוצר החדשני מועתק במלואו, ביודעין ובמכוון, ללא הסבר או צידוק מעבר לרצונו של המעתיק להתעשר על חשבונו של אחר. </w:t>
      </w:r>
      <w:r w:rsidRPr="005F3228">
        <w:rPr>
          <w:rFonts w:ascii="David" w:hAnsi="David" w:cs="David"/>
          <w:b/>
          <w:bCs/>
          <w:rtl/>
        </w:rPr>
        <w:t>שם</w:t>
      </w:r>
      <w:r w:rsidRPr="005F3228">
        <w:rPr>
          <w:rFonts w:ascii="David" w:hAnsi="David" w:cs="David"/>
          <w:rtl/>
        </w:rPr>
        <w:t>,</w:t>
      </w:r>
      <w:r w:rsidRPr="005F3228">
        <w:rPr>
          <w:rFonts w:ascii="David" w:hAnsi="David" w:cs="David"/>
          <w:b/>
          <w:bCs/>
          <w:rtl/>
        </w:rPr>
        <w:t xml:space="preserve"> </w:t>
      </w:r>
      <w:r w:rsidRPr="005F3228">
        <w:rPr>
          <w:rFonts w:ascii="David" w:hAnsi="David" w:cs="David"/>
          <w:rtl/>
        </w:rPr>
        <w:t>בעמ' 493.</w:t>
      </w:r>
    </w:p>
  </w:footnote>
  <w:footnote w:id="36">
    <w:p w14:paraId="1DD3CCA1" w14:textId="3803DEF6"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מעניין לציין, כי בסעיף 6(ג) לחוק עוולות מסחריות, נקבע במפורש, כי השימוש בהנדסה חוזרת לצורך נטילתו של סוד מסחרי בלא הסכמת בעליו אינו נחשב, כשלעצמו, כאמצעי פסול. מדובר, אפוא, במצב בו, בהנחה כי לתהליך ההנדסה החוזרת לא נלווה אמצעי פסול אחר, חיקוי המוצר אינו מהווה גזל סוד מסחרי, אך ניתן לזכות בסעד כנגדו מכוח המסלול החלופי של עשיית עושר ולא במשפט. פרופ' </w:t>
      </w:r>
      <w:proofErr w:type="spellStart"/>
      <w:r w:rsidRPr="005F3228">
        <w:rPr>
          <w:rFonts w:ascii="David" w:hAnsi="David" w:cs="David"/>
          <w:rtl/>
        </w:rPr>
        <w:t>דויטש</w:t>
      </w:r>
      <w:proofErr w:type="spellEnd"/>
      <w:r w:rsidRPr="005F3228">
        <w:rPr>
          <w:rFonts w:ascii="David" w:hAnsi="David" w:cs="David"/>
          <w:rtl/>
        </w:rPr>
        <w:t xml:space="preserve"> תומך בתוצאה זו. </w:t>
      </w:r>
      <w:r w:rsidRPr="005F3228">
        <w:rPr>
          <w:rFonts w:ascii="David" w:hAnsi="David" w:cs="David"/>
          <w:rtl/>
        </w:rPr>
        <w:t xml:space="preserve">ראו </w:t>
      </w:r>
      <w:proofErr w:type="spellStart"/>
      <w:r w:rsidRPr="005F3228">
        <w:rPr>
          <w:rFonts w:ascii="David" w:hAnsi="David" w:cs="David"/>
          <w:rtl/>
        </w:rPr>
        <w:t>דויטש</w:t>
      </w:r>
      <w:proofErr w:type="spellEnd"/>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Ref28025711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3</w:t>
      </w:r>
      <w:r w:rsidRPr="005F3228">
        <w:rPr>
          <w:rFonts w:ascii="David" w:hAnsi="David" w:cs="David"/>
          <w:rtl/>
        </w:rPr>
        <w:fldChar w:fldCharType="end"/>
      </w:r>
      <w:r w:rsidRPr="005F3228">
        <w:rPr>
          <w:rFonts w:ascii="David" w:hAnsi="David" w:cs="David"/>
          <w:rtl/>
        </w:rPr>
        <w:t xml:space="preserve">, </w:t>
      </w:r>
      <w:proofErr w:type="spellStart"/>
      <w:r w:rsidRPr="005F3228">
        <w:rPr>
          <w:rFonts w:ascii="David" w:hAnsi="David" w:cs="David"/>
          <w:rtl/>
        </w:rPr>
        <w:t>בע</w:t>
      </w:r>
      <w:proofErr w:type="spellEnd"/>
      <w:r w:rsidRPr="005F3228">
        <w:rPr>
          <w:rFonts w:ascii="David" w:hAnsi="David" w:cs="David"/>
          <w:rtl/>
        </w:rPr>
        <w:t xml:space="preserve">' 266, 678; </w:t>
      </w:r>
      <w:proofErr w:type="spellStart"/>
      <w:r w:rsidRPr="005F3228">
        <w:rPr>
          <w:rFonts w:ascii="David" w:hAnsi="David" w:cs="David"/>
          <w:rtl/>
        </w:rPr>
        <w:t>מיגל</w:t>
      </w:r>
      <w:proofErr w:type="spellEnd"/>
      <w:r w:rsidRPr="005F3228">
        <w:rPr>
          <w:rFonts w:ascii="David" w:hAnsi="David" w:cs="David"/>
          <w:rtl/>
        </w:rPr>
        <w:t xml:space="preserve"> </w:t>
      </w:r>
      <w:proofErr w:type="spellStart"/>
      <w:r w:rsidRPr="005F3228">
        <w:rPr>
          <w:rFonts w:ascii="David" w:hAnsi="David" w:cs="David"/>
          <w:rtl/>
        </w:rPr>
        <w:t>דויטש</w:t>
      </w:r>
      <w:proofErr w:type="spellEnd"/>
      <w:r w:rsidRPr="005F3228">
        <w:rPr>
          <w:rFonts w:ascii="David" w:hAnsi="David" w:cs="David"/>
          <w:rtl/>
        </w:rPr>
        <w:t xml:space="preserve">, "חוק עוולות מסחריות, תשנ"ט-1999 - הגינות בתחרות וסודות מסחר", </w:t>
      </w:r>
      <w:r w:rsidRPr="005F3228">
        <w:rPr>
          <w:rFonts w:ascii="David" w:hAnsi="David" w:cs="David"/>
          <w:b/>
          <w:bCs/>
          <w:rtl/>
        </w:rPr>
        <w:t>הפרקליט</w:t>
      </w:r>
      <w:r w:rsidRPr="005F3228">
        <w:rPr>
          <w:rFonts w:ascii="David" w:hAnsi="David" w:cs="David"/>
          <w:rtl/>
        </w:rPr>
        <w:t xml:space="preserve"> מה (תש"ס) 128, 155.</w:t>
      </w:r>
    </w:p>
  </w:footnote>
  <w:footnote w:id="37">
    <w:p w14:paraId="615E071D" w14:textId="55D30533"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עניין </w:t>
      </w:r>
      <w:proofErr w:type="spellStart"/>
      <w:r w:rsidRPr="005F3228">
        <w:rPr>
          <w:rFonts w:ascii="David" w:hAnsi="David" w:cs="David"/>
          <w:b/>
          <w:bCs/>
          <w:rtl/>
        </w:rPr>
        <w:t>א.ש.י.ר</w:t>
      </w:r>
      <w:proofErr w:type="spellEnd"/>
      <w:r w:rsidRPr="005F3228">
        <w:rPr>
          <w:rFonts w:ascii="David" w:hAnsi="David" w:cs="David"/>
          <w:b/>
          <w:bCs/>
          <w:rtl/>
        </w:rPr>
        <w:t>.</w:t>
      </w:r>
      <w:r w:rsidRPr="005F3228">
        <w:rPr>
          <w:rFonts w:ascii="David" w:hAnsi="David" w:cs="David"/>
          <w:rtl/>
        </w:rPr>
        <w:t>,</w:t>
      </w:r>
      <w:r w:rsidRPr="005F3228">
        <w:rPr>
          <w:rFonts w:ascii="David" w:hAnsi="David" w:cs="David"/>
          <w:b/>
          <w:bCs/>
          <w:rtl/>
        </w:rPr>
        <w:t xml:space="preserve"> 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Ref27910357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w:t>
      </w:r>
      <w:r w:rsidRPr="005F3228">
        <w:rPr>
          <w:rFonts w:ascii="David" w:hAnsi="David" w:cs="David"/>
          <w:rtl/>
        </w:rPr>
        <w:fldChar w:fldCharType="end"/>
      </w:r>
      <w:r w:rsidRPr="005F3228">
        <w:rPr>
          <w:rFonts w:ascii="David" w:hAnsi="David" w:cs="David"/>
          <w:rtl/>
        </w:rPr>
        <w:t>, בעמ' 486.</w:t>
      </w:r>
    </w:p>
  </w:footnote>
  <w:footnote w:id="38">
    <w:p w14:paraId="6F43E070" w14:textId="66F0C02D" w:rsidR="00F06EA1" w:rsidRPr="005F3228" w:rsidRDefault="00F06EA1" w:rsidP="000D19A0">
      <w:pPr>
        <w:spacing w:after="0"/>
        <w:jc w:val="both"/>
        <w:rPr>
          <w:rFonts w:ascii="David" w:hAnsi="David" w:cs="David"/>
          <w:sz w:val="20"/>
          <w:szCs w:val="20"/>
        </w:rPr>
      </w:pPr>
      <w:r w:rsidRPr="005F3228">
        <w:rPr>
          <w:rStyle w:val="FootnoteReference"/>
          <w:rFonts w:ascii="David" w:hAnsi="David" w:cs="David"/>
          <w:sz w:val="20"/>
          <w:szCs w:val="20"/>
        </w:rPr>
        <w:footnoteRef/>
      </w:r>
      <w:r w:rsidRPr="005F3228">
        <w:rPr>
          <w:rFonts w:ascii="David" w:hAnsi="David" w:cs="David"/>
          <w:sz w:val="20"/>
          <w:szCs w:val="20"/>
          <w:rtl/>
        </w:rPr>
        <w:t xml:space="preserve"> כך, למשל, הביע פרופ' </w:t>
      </w:r>
      <w:proofErr w:type="spellStart"/>
      <w:r w:rsidRPr="005F3228">
        <w:rPr>
          <w:rFonts w:ascii="David" w:hAnsi="David" w:cs="David"/>
          <w:sz w:val="20"/>
          <w:szCs w:val="20"/>
          <w:rtl/>
        </w:rPr>
        <w:t>דויטש</w:t>
      </w:r>
      <w:proofErr w:type="spellEnd"/>
      <w:r w:rsidRPr="005F3228">
        <w:rPr>
          <w:rFonts w:ascii="David" w:hAnsi="David" w:cs="David"/>
          <w:sz w:val="20"/>
          <w:szCs w:val="20"/>
          <w:rtl/>
        </w:rPr>
        <w:t xml:space="preserve"> תמיכה בעמדת שופטי הרוב לפיה בהחלתם של דיני עשיית עושר לצד דיני הקניין הרוחני אין משום "התערבות" בדיני הקניין הרוחני עצמם, שכן עילת התביעה מכוח דיני עשיית עושר כלל אינה שקולה לזכות קניין, בהיותה מותנית בשיקול דעת נרחב של בית המשפט, ובשל רמת ההגנה ה"רכה" אותה היא מקנה לבעל התוצר הרוחני ", בפרט ביחס לרוכש מאוחר של הנכס המגלם את התוצר. אשר על כן, לגישתו, אין מניעה מלהכיר בעילות תביעה "רכות" מכוח דיני עשיית עושר ולא במשפט לצד העילות הקבועות בדיני הקניין הרוחני הממוסדים. </w:t>
      </w:r>
      <w:r w:rsidRPr="005F3228">
        <w:rPr>
          <w:rFonts w:ascii="David" w:hAnsi="David" w:cs="David"/>
          <w:sz w:val="20"/>
          <w:szCs w:val="20"/>
          <w:rtl/>
        </w:rPr>
        <w:t xml:space="preserve">ראו </w:t>
      </w:r>
      <w:proofErr w:type="spellStart"/>
      <w:r w:rsidRPr="005F3228">
        <w:rPr>
          <w:rFonts w:ascii="David" w:hAnsi="David" w:cs="David"/>
          <w:sz w:val="20"/>
          <w:szCs w:val="20"/>
          <w:rtl/>
        </w:rPr>
        <w:t>דויטש</w:t>
      </w:r>
      <w:proofErr w:type="spellEnd"/>
      <w:r w:rsidRPr="005F3228">
        <w:rPr>
          <w:rFonts w:ascii="David" w:hAnsi="David" w:cs="David"/>
          <w:sz w:val="20"/>
          <w:szCs w:val="20"/>
          <w:rtl/>
        </w:rPr>
        <w:t xml:space="preserve">, </w:t>
      </w:r>
      <w:r w:rsidRPr="005F3228">
        <w:rPr>
          <w:rFonts w:ascii="David" w:hAnsi="David" w:cs="David"/>
          <w:b/>
          <w:bCs/>
          <w:sz w:val="20"/>
          <w:szCs w:val="20"/>
          <w:rtl/>
        </w:rPr>
        <w:t>לעיל</w:t>
      </w:r>
      <w:r w:rsidRPr="005F3228">
        <w:rPr>
          <w:rFonts w:ascii="David" w:hAnsi="David" w:cs="David"/>
          <w:sz w:val="20"/>
          <w:szCs w:val="20"/>
          <w:rtl/>
        </w:rPr>
        <w:t xml:space="preserve"> הערה </w:t>
      </w:r>
      <w:r w:rsidRPr="005F3228">
        <w:rPr>
          <w:rFonts w:ascii="David" w:hAnsi="David" w:cs="David"/>
          <w:sz w:val="20"/>
          <w:szCs w:val="20"/>
          <w:rtl/>
        </w:rPr>
        <w:fldChar w:fldCharType="begin"/>
      </w:r>
      <w:r w:rsidRPr="005F3228">
        <w:rPr>
          <w:rFonts w:ascii="David" w:hAnsi="David" w:cs="David"/>
          <w:sz w:val="20"/>
          <w:szCs w:val="20"/>
          <w:rtl/>
        </w:rPr>
        <w:instrText xml:space="preserve"> </w:instrText>
      </w:r>
      <w:r w:rsidRPr="005F3228">
        <w:rPr>
          <w:rFonts w:ascii="David" w:hAnsi="David" w:cs="David"/>
          <w:sz w:val="20"/>
          <w:szCs w:val="20"/>
        </w:rPr>
        <w:instrText>NOTEREF</w:instrText>
      </w:r>
      <w:r w:rsidRPr="005F3228">
        <w:rPr>
          <w:rFonts w:ascii="David" w:hAnsi="David" w:cs="David"/>
          <w:sz w:val="20"/>
          <w:szCs w:val="20"/>
          <w:rtl/>
        </w:rPr>
        <w:instrText xml:space="preserve"> _</w:instrText>
      </w:r>
      <w:r w:rsidRPr="005F3228">
        <w:rPr>
          <w:rFonts w:ascii="David" w:hAnsi="David" w:cs="David"/>
          <w:sz w:val="20"/>
          <w:szCs w:val="20"/>
        </w:rPr>
        <w:instrText>Ref27912919 \h</w:instrText>
      </w:r>
      <w:r w:rsidRPr="005F3228">
        <w:rPr>
          <w:rFonts w:ascii="David" w:hAnsi="David" w:cs="David"/>
          <w:sz w:val="20"/>
          <w:szCs w:val="20"/>
          <w:rtl/>
        </w:rPr>
        <w:instrText xml:space="preserve">  \* </w:instrText>
      </w:r>
      <w:r w:rsidRPr="005F3228">
        <w:rPr>
          <w:rFonts w:ascii="David" w:hAnsi="David" w:cs="David"/>
          <w:sz w:val="20"/>
          <w:szCs w:val="20"/>
        </w:rPr>
        <w:instrText>MERGEFORMAT</w:instrText>
      </w:r>
      <w:r w:rsidRPr="005F3228">
        <w:rPr>
          <w:rFonts w:ascii="David" w:hAnsi="David" w:cs="David"/>
          <w:sz w:val="20"/>
          <w:szCs w:val="20"/>
          <w:rtl/>
        </w:rPr>
        <w:instrText xml:space="preserve"> </w:instrText>
      </w:r>
      <w:r w:rsidRPr="005F3228">
        <w:rPr>
          <w:rFonts w:ascii="David" w:hAnsi="David" w:cs="David"/>
          <w:sz w:val="20"/>
          <w:szCs w:val="20"/>
          <w:rtl/>
        </w:rPr>
      </w:r>
      <w:r w:rsidRPr="005F3228">
        <w:rPr>
          <w:rFonts w:ascii="David" w:hAnsi="David" w:cs="David"/>
          <w:sz w:val="20"/>
          <w:szCs w:val="20"/>
          <w:rtl/>
        </w:rPr>
        <w:fldChar w:fldCharType="separate"/>
      </w:r>
      <w:r w:rsidRPr="005F3228">
        <w:rPr>
          <w:rFonts w:ascii="David" w:hAnsi="David" w:cs="David"/>
          <w:sz w:val="20"/>
          <w:szCs w:val="20"/>
          <w:rtl/>
        </w:rPr>
        <w:t>30</w:t>
      </w:r>
      <w:r w:rsidRPr="005F3228">
        <w:rPr>
          <w:rFonts w:ascii="David" w:hAnsi="David" w:cs="David"/>
          <w:sz w:val="20"/>
          <w:szCs w:val="20"/>
          <w:rtl/>
        </w:rPr>
        <w:fldChar w:fldCharType="end"/>
      </w:r>
      <w:r w:rsidRPr="005F3228">
        <w:rPr>
          <w:rFonts w:ascii="David" w:hAnsi="David" w:cs="David"/>
          <w:sz w:val="20"/>
          <w:szCs w:val="20"/>
          <w:rtl/>
        </w:rPr>
        <w:t xml:space="preserve">, </w:t>
      </w:r>
      <w:proofErr w:type="spellStart"/>
      <w:r w:rsidRPr="005F3228">
        <w:rPr>
          <w:rFonts w:ascii="David" w:hAnsi="David" w:cs="David"/>
          <w:sz w:val="20"/>
          <w:szCs w:val="20"/>
          <w:rtl/>
        </w:rPr>
        <w:t>בע</w:t>
      </w:r>
      <w:proofErr w:type="spellEnd"/>
      <w:r w:rsidRPr="005F3228">
        <w:rPr>
          <w:rFonts w:ascii="David" w:hAnsi="David" w:cs="David"/>
          <w:sz w:val="20"/>
          <w:szCs w:val="20"/>
          <w:rtl/>
        </w:rPr>
        <w:t xml:space="preserve">' 171, 205. ראו גם חנוך דגן, </w:t>
      </w:r>
      <w:r w:rsidRPr="005F3228">
        <w:rPr>
          <w:rFonts w:ascii="David" w:hAnsi="David" w:cs="David"/>
          <w:b/>
          <w:bCs/>
          <w:sz w:val="20"/>
          <w:szCs w:val="20"/>
          <w:rtl/>
        </w:rPr>
        <w:t>קניין על פרשת דרכים</w:t>
      </w:r>
      <w:r w:rsidRPr="005F3228">
        <w:rPr>
          <w:rFonts w:ascii="David" w:hAnsi="David" w:cs="David"/>
          <w:sz w:val="20"/>
          <w:szCs w:val="20"/>
          <w:rtl/>
        </w:rPr>
        <w:t xml:space="preserve"> (2002) , בעמודים 90-96, הטוען כי שימוש בדיני עשיית עושר כדי ליצור זכויות של "מעין קניין רוחני" הינו מהלך שעשוי להיות ראוי, אולם מבקר את אופן היישום של מהלך זה בפסק דין </w:t>
      </w:r>
      <w:proofErr w:type="spellStart"/>
      <w:r w:rsidRPr="005F3228">
        <w:rPr>
          <w:rFonts w:ascii="David" w:hAnsi="David" w:cs="David"/>
          <w:sz w:val="20"/>
          <w:szCs w:val="20"/>
          <w:rtl/>
        </w:rPr>
        <w:t>א.ש.י.ר</w:t>
      </w:r>
      <w:proofErr w:type="spellEnd"/>
      <w:r w:rsidRPr="005F3228">
        <w:rPr>
          <w:rFonts w:ascii="David" w:hAnsi="David" w:cs="David"/>
          <w:sz w:val="20"/>
          <w:szCs w:val="20"/>
          <w:rtl/>
        </w:rPr>
        <w:t xml:space="preserve">.  </w:t>
      </w:r>
    </w:p>
  </w:footnote>
  <w:footnote w:id="39">
    <w:p w14:paraId="1A062106" w14:textId="6EFB4DC1" w:rsidR="00F06EA1" w:rsidRPr="005F3228" w:rsidRDefault="00F06EA1" w:rsidP="000D19A0">
      <w:pPr>
        <w:spacing w:after="0"/>
        <w:jc w:val="both"/>
        <w:rPr>
          <w:rFonts w:ascii="David" w:hAnsi="David" w:cs="David"/>
          <w:sz w:val="20"/>
          <w:szCs w:val="20"/>
        </w:rPr>
      </w:pPr>
      <w:r w:rsidRPr="005F3228">
        <w:rPr>
          <w:rFonts w:ascii="David" w:hAnsi="David" w:cs="David"/>
          <w:sz w:val="20"/>
          <w:szCs w:val="20"/>
          <w:vertAlign w:val="superscript"/>
        </w:rPr>
        <w:footnoteRef/>
      </w:r>
      <w:r w:rsidRPr="005F3228">
        <w:rPr>
          <w:rFonts w:ascii="David" w:hAnsi="David" w:cs="David"/>
          <w:sz w:val="20"/>
          <w:szCs w:val="20"/>
          <w:vertAlign w:val="superscript"/>
          <w:rtl/>
        </w:rPr>
        <w:t xml:space="preserve"> </w:t>
      </w:r>
      <w:r w:rsidRPr="005F3228">
        <w:rPr>
          <w:rFonts w:ascii="David" w:hAnsi="David" w:cs="David"/>
          <w:sz w:val="20"/>
          <w:szCs w:val="20"/>
          <w:rtl/>
        </w:rPr>
        <w:t xml:space="preserve">ניבה </w:t>
      </w:r>
      <w:proofErr w:type="spellStart"/>
      <w:r w:rsidRPr="005F3228">
        <w:rPr>
          <w:rFonts w:ascii="David" w:hAnsi="David" w:cs="David"/>
          <w:sz w:val="20"/>
          <w:szCs w:val="20"/>
          <w:rtl/>
        </w:rPr>
        <w:t>אלקין</w:t>
      </w:r>
      <w:proofErr w:type="spellEnd"/>
      <w:r w:rsidRPr="005F3228">
        <w:rPr>
          <w:rFonts w:ascii="David" w:hAnsi="David" w:cs="David"/>
          <w:sz w:val="20"/>
          <w:szCs w:val="20"/>
          <w:rtl/>
        </w:rPr>
        <w:t xml:space="preserve">-קורן, </w:t>
      </w:r>
      <w:r w:rsidRPr="005F3228">
        <w:rPr>
          <w:rFonts w:ascii="David" w:hAnsi="David" w:cs="David"/>
          <w:b/>
          <w:bCs/>
          <w:sz w:val="20"/>
          <w:szCs w:val="20"/>
          <w:rtl/>
        </w:rPr>
        <w:t>לעיל</w:t>
      </w:r>
      <w:r w:rsidRPr="005F3228">
        <w:rPr>
          <w:rFonts w:ascii="David" w:hAnsi="David" w:cs="David"/>
          <w:sz w:val="20"/>
          <w:szCs w:val="20"/>
          <w:rtl/>
        </w:rPr>
        <w:t xml:space="preserve"> הערה </w:t>
      </w:r>
      <w:r w:rsidRPr="005F3228">
        <w:rPr>
          <w:rFonts w:ascii="David" w:hAnsi="David" w:cs="David"/>
          <w:sz w:val="20"/>
          <w:szCs w:val="20"/>
          <w:rtl/>
        </w:rPr>
        <w:fldChar w:fldCharType="begin"/>
      </w:r>
      <w:r w:rsidRPr="005F3228">
        <w:rPr>
          <w:rFonts w:ascii="David" w:hAnsi="David" w:cs="David"/>
          <w:sz w:val="20"/>
          <w:szCs w:val="20"/>
          <w:rtl/>
        </w:rPr>
        <w:instrText xml:space="preserve"> </w:instrText>
      </w:r>
      <w:r w:rsidRPr="005F3228">
        <w:rPr>
          <w:rFonts w:ascii="David" w:hAnsi="David" w:cs="David"/>
          <w:sz w:val="20"/>
          <w:szCs w:val="20"/>
        </w:rPr>
        <w:instrText>NOTEREF</w:instrText>
      </w:r>
      <w:r w:rsidRPr="005F3228">
        <w:rPr>
          <w:rFonts w:ascii="David" w:hAnsi="David" w:cs="David"/>
          <w:sz w:val="20"/>
          <w:szCs w:val="20"/>
          <w:rtl/>
        </w:rPr>
        <w:instrText xml:space="preserve"> _</w:instrText>
      </w:r>
      <w:r w:rsidRPr="005F3228">
        <w:rPr>
          <w:rFonts w:ascii="David" w:hAnsi="David" w:cs="David"/>
          <w:sz w:val="20"/>
          <w:szCs w:val="20"/>
        </w:rPr>
        <w:instrText>Ref28025711 \h</w:instrText>
      </w:r>
      <w:r w:rsidRPr="005F3228">
        <w:rPr>
          <w:rFonts w:ascii="David" w:hAnsi="David" w:cs="David"/>
          <w:sz w:val="20"/>
          <w:szCs w:val="20"/>
          <w:rtl/>
        </w:rPr>
        <w:instrText xml:space="preserve">  \* </w:instrText>
      </w:r>
      <w:r w:rsidRPr="005F3228">
        <w:rPr>
          <w:rFonts w:ascii="David" w:hAnsi="David" w:cs="David"/>
          <w:sz w:val="20"/>
          <w:szCs w:val="20"/>
        </w:rPr>
        <w:instrText>MERGEFORMAT</w:instrText>
      </w:r>
      <w:r w:rsidRPr="005F3228">
        <w:rPr>
          <w:rFonts w:ascii="David" w:hAnsi="David" w:cs="David"/>
          <w:sz w:val="20"/>
          <w:szCs w:val="20"/>
          <w:rtl/>
        </w:rPr>
        <w:instrText xml:space="preserve"> </w:instrText>
      </w:r>
      <w:r w:rsidRPr="005F3228">
        <w:rPr>
          <w:rFonts w:ascii="David" w:hAnsi="David" w:cs="David"/>
          <w:sz w:val="20"/>
          <w:szCs w:val="20"/>
          <w:rtl/>
        </w:rPr>
      </w:r>
      <w:r w:rsidRPr="005F3228">
        <w:rPr>
          <w:rFonts w:ascii="David" w:hAnsi="David" w:cs="David"/>
          <w:sz w:val="20"/>
          <w:szCs w:val="20"/>
          <w:rtl/>
        </w:rPr>
        <w:fldChar w:fldCharType="separate"/>
      </w:r>
      <w:r w:rsidRPr="005F3228">
        <w:rPr>
          <w:rFonts w:ascii="David" w:hAnsi="David" w:cs="David"/>
          <w:sz w:val="20"/>
          <w:szCs w:val="20"/>
          <w:rtl/>
        </w:rPr>
        <w:t>3</w:t>
      </w:r>
      <w:r w:rsidRPr="005F3228">
        <w:rPr>
          <w:rFonts w:ascii="David" w:hAnsi="David" w:cs="David"/>
          <w:sz w:val="20"/>
          <w:szCs w:val="20"/>
          <w:rtl/>
        </w:rPr>
        <w:fldChar w:fldCharType="end"/>
      </w:r>
      <w:r w:rsidRPr="005F3228">
        <w:rPr>
          <w:rFonts w:ascii="David" w:hAnsi="David" w:cs="David"/>
          <w:sz w:val="20"/>
          <w:szCs w:val="20"/>
          <w:rtl/>
        </w:rPr>
        <w:t xml:space="preserve">, בעמוד 9; עופר טור-סיני, "דיני קניין רוחני – צעידה אל מילניום חדש (מגמות וחידושים במשפט הישראלי), </w:t>
      </w:r>
      <w:proofErr w:type="spellStart"/>
      <w:r w:rsidRPr="005F3228">
        <w:rPr>
          <w:rFonts w:ascii="David" w:hAnsi="David" w:cs="David"/>
          <w:b/>
          <w:bCs/>
          <w:sz w:val="20"/>
          <w:szCs w:val="20"/>
          <w:rtl/>
        </w:rPr>
        <w:t>קרית</w:t>
      </w:r>
      <w:proofErr w:type="spellEnd"/>
      <w:r w:rsidRPr="005F3228">
        <w:rPr>
          <w:rFonts w:ascii="David" w:hAnsi="David" w:cs="David"/>
          <w:b/>
          <w:bCs/>
          <w:sz w:val="20"/>
          <w:szCs w:val="20"/>
          <w:rtl/>
        </w:rPr>
        <w:t xml:space="preserve"> המשפט</w:t>
      </w:r>
      <w:r w:rsidRPr="005F3228">
        <w:rPr>
          <w:rFonts w:ascii="David" w:hAnsi="David" w:cs="David"/>
          <w:sz w:val="20"/>
          <w:szCs w:val="20"/>
          <w:rtl/>
        </w:rPr>
        <w:t xml:space="preserve"> ה 177 (2005); </w:t>
      </w:r>
      <w:proofErr w:type="spellStart"/>
      <w:r w:rsidRPr="005F3228">
        <w:rPr>
          <w:rFonts w:ascii="David" w:hAnsi="David" w:cs="David"/>
          <w:sz w:val="20"/>
          <w:szCs w:val="20"/>
          <w:rtl/>
        </w:rPr>
        <w:t>גרוסקופף</w:t>
      </w:r>
      <w:proofErr w:type="spellEnd"/>
      <w:r w:rsidRPr="005F3228">
        <w:rPr>
          <w:rFonts w:ascii="David" w:hAnsi="David" w:cs="David"/>
          <w:sz w:val="20"/>
          <w:szCs w:val="20"/>
          <w:rtl/>
        </w:rPr>
        <w:t xml:space="preserve">, להלן הערה </w:t>
      </w:r>
      <w:r w:rsidRPr="005F3228">
        <w:rPr>
          <w:rFonts w:ascii="David" w:hAnsi="David" w:cs="David"/>
          <w:sz w:val="20"/>
          <w:szCs w:val="20"/>
          <w:rtl/>
        </w:rPr>
        <w:fldChar w:fldCharType="begin"/>
      </w:r>
      <w:r w:rsidRPr="005F3228">
        <w:rPr>
          <w:rFonts w:ascii="David" w:hAnsi="David" w:cs="David"/>
          <w:sz w:val="20"/>
          <w:szCs w:val="20"/>
          <w:rtl/>
        </w:rPr>
        <w:instrText xml:space="preserve"> </w:instrText>
      </w:r>
      <w:r w:rsidRPr="005F3228">
        <w:rPr>
          <w:rFonts w:ascii="David" w:hAnsi="David" w:cs="David"/>
          <w:sz w:val="20"/>
          <w:szCs w:val="20"/>
        </w:rPr>
        <w:instrText>NOTEREF</w:instrText>
      </w:r>
      <w:r w:rsidRPr="005F3228">
        <w:rPr>
          <w:rFonts w:ascii="David" w:hAnsi="David" w:cs="David"/>
          <w:sz w:val="20"/>
          <w:szCs w:val="20"/>
          <w:rtl/>
        </w:rPr>
        <w:instrText xml:space="preserve"> _</w:instrText>
      </w:r>
      <w:r w:rsidRPr="005F3228">
        <w:rPr>
          <w:rFonts w:ascii="David" w:hAnsi="David" w:cs="David"/>
          <w:sz w:val="20"/>
          <w:szCs w:val="20"/>
        </w:rPr>
        <w:instrText>Ref39060873 \h</w:instrText>
      </w:r>
      <w:r w:rsidRPr="005F3228">
        <w:rPr>
          <w:rFonts w:ascii="David" w:hAnsi="David" w:cs="David"/>
          <w:sz w:val="20"/>
          <w:szCs w:val="20"/>
          <w:rtl/>
        </w:rPr>
        <w:instrText xml:space="preserve">  \* </w:instrText>
      </w:r>
      <w:r w:rsidRPr="005F3228">
        <w:rPr>
          <w:rFonts w:ascii="David" w:hAnsi="David" w:cs="David"/>
          <w:sz w:val="20"/>
          <w:szCs w:val="20"/>
        </w:rPr>
        <w:instrText>MERGEFORMAT</w:instrText>
      </w:r>
      <w:r w:rsidRPr="005F3228">
        <w:rPr>
          <w:rFonts w:ascii="David" w:hAnsi="David" w:cs="David"/>
          <w:sz w:val="20"/>
          <w:szCs w:val="20"/>
          <w:rtl/>
        </w:rPr>
        <w:instrText xml:space="preserve"> </w:instrText>
      </w:r>
      <w:r w:rsidRPr="005F3228">
        <w:rPr>
          <w:rFonts w:ascii="David" w:hAnsi="David" w:cs="David"/>
          <w:sz w:val="20"/>
          <w:szCs w:val="20"/>
          <w:rtl/>
        </w:rPr>
      </w:r>
      <w:r w:rsidRPr="005F3228">
        <w:rPr>
          <w:rFonts w:ascii="David" w:hAnsi="David" w:cs="David"/>
          <w:sz w:val="20"/>
          <w:szCs w:val="20"/>
          <w:rtl/>
        </w:rPr>
        <w:fldChar w:fldCharType="separate"/>
      </w:r>
      <w:r w:rsidRPr="005F3228">
        <w:rPr>
          <w:rFonts w:ascii="David" w:hAnsi="David" w:cs="David"/>
          <w:sz w:val="20"/>
          <w:szCs w:val="20"/>
          <w:rtl/>
        </w:rPr>
        <w:t>6</w:t>
      </w:r>
      <w:r w:rsidRPr="005F3228">
        <w:rPr>
          <w:rFonts w:ascii="David" w:hAnsi="David" w:cs="David"/>
          <w:sz w:val="20"/>
          <w:szCs w:val="20"/>
          <w:rtl/>
        </w:rPr>
        <w:fldChar w:fldCharType="end"/>
      </w:r>
      <w:r w:rsidRPr="005F3228">
        <w:rPr>
          <w:rFonts w:ascii="David" w:hAnsi="David" w:cs="David"/>
          <w:sz w:val="20"/>
          <w:szCs w:val="20"/>
          <w:rtl/>
        </w:rPr>
        <w:t xml:space="preserve">, </w:t>
      </w:r>
      <w:r w:rsidRPr="005F3228">
        <w:rPr>
          <w:rFonts w:ascii="David" w:hAnsi="David" w:cs="David" w:hint="eastAsia"/>
          <w:sz w:val="20"/>
          <w:szCs w:val="20"/>
          <w:rtl/>
        </w:rPr>
        <w:t>בעמ</w:t>
      </w:r>
      <w:r w:rsidRPr="005F3228">
        <w:rPr>
          <w:rFonts w:ascii="David" w:hAnsi="David" w:cs="David"/>
          <w:sz w:val="20"/>
          <w:szCs w:val="20"/>
          <w:rtl/>
        </w:rPr>
        <w:t>' 236.</w:t>
      </w:r>
    </w:p>
  </w:footnote>
  <w:footnote w:id="40">
    <w:p w14:paraId="782DB23A" w14:textId="4C28D85A" w:rsidR="00F06EA1" w:rsidRPr="005F3228" w:rsidRDefault="00F06EA1" w:rsidP="003B656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ראו, למשל, </w:t>
      </w:r>
      <w:proofErr w:type="spellStart"/>
      <w:r w:rsidRPr="005F3228">
        <w:rPr>
          <w:rFonts w:ascii="David" w:hAnsi="David" w:cs="David"/>
          <w:rtl/>
        </w:rPr>
        <w:t>אלקין</w:t>
      </w:r>
      <w:proofErr w:type="spellEnd"/>
      <w:r w:rsidRPr="005F3228">
        <w:rPr>
          <w:rFonts w:ascii="David" w:hAnsi="David" w:cs="David"/>
          <w:rtl/>
        </w:rPr>
        <w:t xml:space="preserve">-קורן,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Ref28025711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3</w:t>
      </w:r>
      <w:r w:rsidRPr="005F3228">
        <w:rPr>
          <w:rFonts w:ascii="David" w:hAnsi="David" w:cs="David"/>
          <w:rtl/>
        </w:rPr>
        <w:fldChar w:fldCharType="end"/>
      </w:r>
      <w:r w:rsidRPr="005F3228">
        <w:rPr>
          <w:rFonts w:ascii="David" w:hAnsi="David" w:cs="David"/>
          <w:rtl/>
        </w:rPr>
        <w:t xml:space="preserve">, בעמ'  48-50 (שם עומדת המחברת על כך שקיומו של סעד אפשרי בעשיית עושר בנסיבות בהן אין עילה בקניין רוחני, מטילה, הלכה למעשה, חובה חדשה על ציבור המשתמשים כולו להימנע מהעתקות בנסיבות דומות). </w:t>
      </w:r>
    </w:p>
  </w:footnote>
  <w:footnote w:id="41">
    <w:p w14:paraId="0C1B4D1D" w14:textId="4E832CAA"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proofErr w:type="spellStart"/>
      <w:r w:rsidRPr="005F3228">
        <w:rPr>
          <w:rFonts w:ascii="David" w:hAnsi="David" w:cs="David"/>
          <w:rtl/>
        </w:rPr>
        <w:t>אלקין</w:t>
      </w:r>
      <w:proofErr w:type="spellEnd"/>
      <w:r w:rsidRPr="005F3228">
        <w:rPr>
          <w:rFonts w:ascii="David" w:hAnsi="David" w:cs="David"/>
          <w:rtl/>
        </w:rPr>
        <w:t xml:space="preserve">-קורן,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Ref28025711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3</w:t>
      </w:r>
      <w:r w:rsidRPr="005F3228">
        <w:rPr>
          <w:rFonts w:ascii="David" w:hAnsi="David" w:cs="David"/>
          <w:rtl/>
        </w:rPr>
        <w:fldChar w:fldCharType="end"/>
      </w:r>
      <w:r w:rsidRPr="005F3228">
        <w:rPr>
          <w:rFonts w:ascii="David" w:hAnsi="David" w:cs="David"/>
          <w:rtl/>
        </w:rPr>
        <w:t xml:space="preserve">, בעמ' 48-50. גם השופט חשין, במסגרת דעת המיעוט שלו, גרס כי זכייתו של אלמוני בתביעה בעשיית עושר נגד פלוני, הגם שזכייה אישית היא, "כרוכה בה אזהרה לכל באי-עולם" כי אם יעשו כמעשה פלוני יהא גורלם כגורלו. אשר על כן, תביעה אישית בעשיית עושר עשויה לגישתו ליצור זכות קניין בדיעבד. עניין </w:t>
      </w:r>
      <w:proofErr w:type="spellStart"/>
      <w:r w:rsidRPr="005F3228">
        <w:rPr>
          <w:rFonts w:ascii="David" w:hAnsi="David" w:cs="David"/>
          <w:b/>
          <w:bCs/>
          <w:rtl/>
        </w:rPr>
        <w:t>א.ש.י.ר</w:t>
      </w:r>
      <w:proofErr w:type="spellEnd"/>
      <w:r w:rsidRPr="005F3228">
        <w:rPr>
          <w:rFonts w:ascii="David" w:hAnsi="David" w:cs="David"/>
          <w:b/>
          <w:bCs/>
          <w:rtl/>
        </w:rPr>
        <w:t>.</w:t>
      </w:r>
      <w:r w:rsidRPr="005F3228">
        <w:rPr>
          <w:rFonts w:ascii="David" w:hAnsi="David" w:cs="David"/>
          <w:rtl/>
        </w:rPr>
        <w:t>,</w:t>
      </w:r>
      <w:r w:rsidRPr="005F3228">
        <w:rPr>
          <w:rFonts w:ascii="David" w:hAnsi="David" w:cs="David"/>
          <w:b/>
          <w:bCs/>
          <w:rtl/>
        </w:rPr>
        <w:t xml:space="preserve"> 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Ref27910357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w:t>
      </w:r>
      <w:r w:rsidRPr="005F3228">
        <w:rPr>
          <w:rFonts w:ascii="David" w:hAnsi="David" w:cs="David"/>
          <w:rtl/>
        </w:rPr>
        <w:fldChar w:fldCharType="end"/>
      </w:r>
      <w:r w:rsidRPr="005F3228">
        <w:rPr>
          <w:rFonts w:ascii="David" w:hAnsi="David" w:cs="David"/>
          <w:rtl/>
        </w:rPr>
        <w:t>, בע</w:t>
      </w:r>
      <w:r w:rsidRPr="005F3228">
        <w:rPr>
          <w:rFonts w:ascii="David" w:hAnsi="David" w:cs="David" w:hint="eastAsia"/>
          <w:rtl/>
        </w:rPr>
        <w:t>מ</w:t>
      </w:r>
      <w:r w:rsidRPr="005F3228">
        <w:rPr>
          <w:rFonts w:ascii="David" w:hAnsi="David" w:cs="David"/>
          <w:rtl/>
        </w:rPr>
        <w:t>' 375.</w:t>
      </w:r>
    </w:p>
  </w:footnote>
  <w:footnote w:id="42">
    <w:p w14:paraId="0E6A16B3" w14:textId="7723A60A"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proofErr w:type="spellStart"/>
      <w:r w:rsidRPr="005F3228">
        <w:rPr>
          <w:rFonts w:ascii="David" w:hAnsi="David" w:cs="David"/>
          <w:rtl/>
        </w:rPr>
        <w:t>אלקין</w:t>
      </w:r>
      <w:proofErr w:type="spellEnd"/>
      <w:r w:rsidRPr="005F3228">
        <w:rPr>
          <w:rFonts w:ascii="David" w:hAnsi="David" w:cs="David"/>
          <w:rtl/>
        </w:rPr>
        <w:t xml:space="preserve">-קורן,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Ref28025711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3</w:t>
      </w:r>
      <w:r w:rsidRPr="005F3228">
        <w:rPr>
          <w:rFonts w:ascii="David" w:hAnsi="David" w:cs="David"/>
          <w:rtl/>
        </w:rPr>
        <w:fldChar w:fldCharType="end"/>
      </w:r>
      <w:r w:rsidRPr="005F3228">
        <w:rPr>
          <w:rFonts w:ascii="David" w:hAnsi="David" w:cs="David"/>
          <w:rtl/>
        </w:rPr>
        <w:t>, בע</w:t>
      </w:r>
      <w:r w:rsidRPr="005F3228">
        <w:rPr>
          <w:rFonts w:ascii="David" w:hAnsi="David" w:cs="David" w:hint="eastAsia"/>
          <w:rtl/>
        </w:rPr>
        <w:t>מ</w:t>
      </w:r>
      <w:r w:rsidRPr="005F3228">
        <w:rPr>
          <w:rFonts w:ascii="David" w:hAnsi="David" w:cs="David"/>
          <w:rtl/>
        </w:rPr>
        <w:t>' 66.</w:t>
      </w:r>
      <w:r w:rsidRPr="005F3228">
        <w:rPr>
          <w:rFonts w:ascii="David" w:hAnsi="David" w:cs="David"/>
        </w:rPr>
        <w:t xml:space="preserve"> </w:t>
      </w:r>
    </w:p>
  </w:footnote>
  <w:footnote w:id="43">
    <w:p w14:paraId="16F5773E"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b/>
          <w:bCs/>
          <w:rtl/>
        </w:rPr>
        <w:t>שם</w:t>
      </w:r>
      <w:r w:rsidRPr="005F3228">
        <w:rPr>
          <w:rFonts w:ascii="David" w:hAnsi="David" w:cs="David"/>
          <w:rtl/>
        </w:rPr>
        <w:t xml:space="preserve"> , בע</w:t>
      </w:r>
      <w:r w:rsidRPr="005F3228">
        <w:rPr>
          <w:rFonts w:ascii="David" w:hAnsi="David" w:cs="David" w:hint="eastAsia"/>
          <w:rtl/>
        </w:rPr>
        <w:t>מ</w:t>
      </w:r>
      <w:r w:rsidRPr="005F3228">
        <w:rPr>
          <w:rFonts w:ascii="David" w:hAnsi="David" w:cs="David"/>
          <w:rtl/>
        </w:rPr>
        <w:t xml:space="preserve">' 67. </w:t>
      </w:r>
    </w:p>
  </w:footnote>
  <w:footnote w:id="44">
    <w:p w14:paraId="61EC516D" w14:textId="25AB04F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b/>
          <w:bCs/>
          <w:rtl/>
        </w:rPr>
        <w:t xml:space="preserve"> שם</w:t>
      </w:r>
      <w:r w:rsidRPr="005F3228">
        <w:rPr>
          <w:rFonts w:ascii="David" w:hAnsi="David" w:cs="David"/>
          <w:rtl/>
        </w:rPr>
        <w:t>, בע</w:t>
      </w:r>
      <w:r w:rsidRPr="005F3228">
        <w:rPr>
          <w:rFonts w:ascii="David" w:hAnsi="David" w:cs="David" w:hint="eastAsia"/>
          <w:rtl/>
        </w:rPr>
        <w:t>מ</w:t>
      </w:r>
      <w:r w:rsidRPr="005F3228">
        <w:rPr>
          <w:rFonts w:ascii="David" w:hAnsi="David" w:cs="David"/>
          <w:rtl/>
        </w:rPr>
        <w:t xml:space="preserve">' 66, 68-69. </w:t>
      </w:r>
      <w:r w:rsidRPr="005F3228">
        <w:rPr>
          <w:rFonts w:ascii="David" w:hAnsi="David" w:cs="David" w:hint="eastAsia"/>
          <w:rtl/>
        </w:rPr>
        <w:t>ראו</w:t>
      </w:r>
      <w:r w:rsidRPr="005F3228">
        <w:rPr>
          <w:rFonts w:ascii="David" w:hAnsi="David" w:cs="David"/>
          <w:rtl/>
        </w:rPr>
        <w:t xml:space="preserve"> גם </w:t>
      </w:r>
      <w:proofErr w:type="spellStart"/>
      <w:r w:rsidRPr="005F3228">
        <w:rPr>
          <w:rFonts w:ascii="David" w:hAnsi="David" w:cs="David"/>
          <w:rtl/>
        </w:rPr>
        <w:t>גרוסקופף</w:t>
      </w:r>
      <w:proofErr w:type="spellEnd"/>
      <w:r w:rsidRPr="005F3228">
        <w:rPr>
          <w:rFonts w:ascii="David" w:hAnsi="David" w:cs="David"/>
          <w:rtl/>
        </w:rPr>
        <w:t xml:space="preserve">, </w:t>
      </w:r>
      <w:r w:rsidRPr="005F3228">
        <w:rPr>
          <w:rFonts w:ascii="David" w:hAnsi="David" w:cs="David" w:hint="eastAsia"/>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Ref39060873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6</w:t>
      </w:r>
      <w:r w:rsidRPr="005F3228">
        <w:rPr>
          <w:rFonts w:ascii="David" w:hAnsi="David" w:cs="David"/>
          <w:rtl/>
        </w:rPr>
        <w:fldChar w:fldCharType="end"/>
      </w:r>
      <w:r w:rsidRPr="005F3228">
        <w:rPr>
          <w:rFonts w:ascii="David" w:hAnsi="David" w:cs="David"/>
          <w:rtl/>
        </w:rPr>
        <w:t xml:space="preserve">, </w:t>
      </w:r>
      <w:r w:rsidRPr="005F3228">
        <w:rPr>
          <w:rFonts w:ascii="David" w:hAnsi="David" w:cs="David" w:hint="eastAsia"/>
          <w:rtl/>
        </w:rPr>
        <w:t>בעמ</w:t>
      </w:r>
      <w:r w:rsidRPr="005F3228">
        <w:rPr>
          <w:rFonts w:ascii="David" w:hAnsi="David" w:cs="David"/>
          <w:rtl/>
        </w:rPr>
        <w:t>' 215 (</w:t>
      </w:r>
      <w:r w:rsidRPr="005F3228">
        <w:rPr>
          <w:rFonts w:ascii="David" w:hAnsi="David" w:cs="David" w:hint="eastAsia"/>
          <w:rtl/>
        </w:rPr>
        <w:t>שם</w:t>
      </w:r>
      <w:r w:rsidRPr="005F3228">
        <w:rPr>
          <w:rFonts w:ascii="David" w:hAnsi="David" w:cs="David"/>
          <w:rtl/>
        </w:rPr>
        <w:t xml:space="preserve"> </w:t>
      </w:r>
      <w:r w:rsidRPr="005F3228">
        <w:rPr>
          <w:rFonts w:ascii="David" w:hAnsi="David" w:cs="David" w:hint="eastAsia"/>
          <w:rtl/>
        </w:rPr>
        <w:t>מבקר</w:t>
      </w:r>
      <w:r w:rsidRPr="005F3228">
        <w:rPr>
          <w:rFonts w:ascii="David" w:hAnsi="David" w:cs="David"/>
          <w:rtl/>
        </w:rPr>
        <w:t xml:space="preserve"> </w:t>
      </w:r>
      <w:r w:rsidRPr="005F3228">
        <w:rPr>
          <w:rFonts w:ascii="David" w:hAnsi="David" w:cs="David" w:hint="eastAsia"/>
          <w:rtl/>
        </w:rPr>
        <w:t>המחבר</w:t>
      </w:r>
      <w:r w:rsidRPr="005F3228">
        <w:rPr>
          <w:rFonts w:ascii="David" w:hAnsi="David" w:cs="David"/>
          <w:rtl/>
        </w:rPr>
        <w:t xml:space="preserve"> </w:t>
      </w:r>
      <w:r w:rsidRPr="005F3228">
        <w:rPr>
          <w:rFonts w:ascii="David" w:hAnsi="David" w:cs="David" w:hint="eastAsia"/>
          <w:rtl/>
        </w:rPr>
        <w:t>את</w:t>
      </w:r>
      <w:r w:rsidRPr="005F3228">
        <w:rPr>
          <w:rFonts w:ascii="David" w:hAnsi="David" w:cs="David"/>
          <w:rtl/>
        </w:rPr>
        <w:t xml:space="preserve"> </w:t>
      </w:r>
      <w:r w:rsidRPr="005F3228">
        <w:rPr>
          <w:rFonts w:ascii="David" w:hAnsi="David" w:cs="David" w:hint="eastAsia"/>
          <w:rtl/>
        </w:rPr>
        <w:t>הפערים</w:t>
      </w:r>
      <w:r w:rsidRPr="005F3228">
        <w:rPr>
          <w:rFonts w:ascii="David" w:hAnsi="David" w:cs="David"/>
          <w:rtl/>
        </w:rPr>
        <w:t xml:space="preserve"> </w:t>
      </w:r>
      <w:r w:rsidRPr="005F3228">
        <w:rPr>
          <w:rFonts w:ascii="David" w:hAnsi="David" w:cs="David" w:hint="eastAsia"/>
          <w:rtl/>
        </w:rPr>
        <w:t>המשמעותיים</w:t>
      </w:r>
      <w:r w:rsidRPr="005F3228">
        <w:rPr>
          <w:rFonts w:ascii="David" w:hAnsi="David" w:cs="David"/>
          <w:rtl/>
        </w:rPr>
        <w:t xml:space="preserve"> </w:t>
      </w:r>
      <w:r w:rsidRPr="005F3228">
        <w:rPr>
          <w:rFonts w:ascii="David" w:hAnsi="David" w:cs="David" w:hint="eastAsia"/>
          <w:rtl/>
        </w:rPr>
        <w:t>בין</w:t>
      </w:r>
      <w:r w:rsidRPr="005F3228">
        <w:rPr>
          <w:rFonts w:ascii="David" w:hAnsi="David" w:cs="David"/>
          <w:rtl/>
        </w:rPr>
        <w:t xml:space="preserve"> </w:t>
      </w:r>
      <w:r w:rsidRPr="005F3228">
        <w:rPr>
          <w:rFonts w:ascii="David" w:hAnsi="David" w:cs="David" w:hint="eastAsia"/>
          <w:rtl/>
        </w:rPr>
        <w:t>פסקי</w:t>
      </w:r>
      <w:r w:rsidRPr="005F3228">
        <w:rPr>
          <w:rFonts w:ascii="David" w:hAnsi="David" w:cs="David"/>
          <w:rtl/>
        </w:rPr>
        <w:t xml:space="preserve"> </w:t>
      </w:r>
      <w:r w:rsidRPr="005F3228">
        <w:rPr>
          <w:rFonts w:ascii="David" w:hAnsi="David" w:cs="David" w:hint="eastAsia"/>
          <w:rtl/>
        </w:rPr>
        <w:t>הדין</w:t>
      </w:r>
      <w:r w:rsidRPr="005F3228">
        <w:rPr>
          <w:rFonts w:ascii="David" w:hAnsi="David" w:cs="David"/>
          <w:rtl/>
        </w:rPr>
        <w:t xml:space="preserve"> </w:t>
      </w:r>
      <w:r w:rsidRPr="005F3228">
        <w:rPr>
          <w:rFonts w:ascii="David" w:hAnsi="David" w:cs="David" w:hint="eastAsia"/>
          <w:rtl/>
        </w:rPr>
        <w:t>של</w:t>
      </w:r>
      <w:r w:rsidRPr="005F3228">
        <w:rPr>
          <w:rFonts w:ascii="David" w:hAnsi="David" w:cs="David"/>
          <w:rtl/>
        </w:rPr>
        <w:t xml:space="preserve"> </w:t>
      </w:r>
      <w:r w:rsidRPr="005F3228">
        <w:rPr>
          <w:rFonts w:ascii="David" w:hAnsi="David" w:cs="David" w:hint="eastAsia"/>
          <w:rtl/>
        </w:rPr>
        <w:t>השופטים</w:t>
      </w:r>
      <w:r w:rsidRPr="005F3228">
        <w:rPr>
          <w:rFonts w:ascii="David" w:hAnsi="David" w:cs="David"/>
          <w:rtl/>
        </w:rPr>
        <w:t xml:space="preserve"> </w:t>
      </w:r>
      <w:r w:rsidRPr="005F3228">
        <w:rPr>
          <w:rFonts w:ascii="David" w:hAnsi="David" w:cs="David" w:hint="eastAsia"/>
          <w:rtl/>
        </w:rPr>
        <w:t>השונים</w:t>
      </w:r>
      <w:r w:rsidRPr="005F3228">
        <w:rPr>
          <w:rFonts w:ascii="David" w:hAnsi="David" w:cs="David"/>
          <w:rtl/>
        </w:rPr>
        <w:t xml:space="preserve"> </w:t>
      </w:r>
      <w:r w:rsidRPr="005F3228">
        <w:rPr>
          <w:rFonts w:ascii="David" w:hAnsi="David" w:cs="David" w:hint="eastAsia"/>
          <w:rtl/>
        </w:rPr>
        <w:t>בעניין</w:t>
      </w:r>
      <w:r w:rsidRPr="005F3228">
        <w:rPr>
          <w:rFonts w:ascii="David" w:hAnsi="David" w:cs="David"/>
          <w:rtl/>
        </w:rPr>
        <w:t xml:space="preserve"> </w:t>
      </w:r>
      <w:proofErr w:type="spellStart"/>
      <w:r w:rsidRPr="005F3228">
        <w:rPr>
          <w:rFonts w:ascii="David" w:hAnsi="David" w:cs="David" w:hint="eastAsia"/>
          <w:rtl/>
        </w:rPr>
        <w:t>א</w:t>
      </w:r>
      <w:r w:rsidRPr="005F3228">
        <w:rPr>
          <w:rFonts w:ascii="David" w:hAnsi="David" w:cs="David"/>
          <w:rtl/>
        </w:rPr>
        <w:t>.ש.י.ר</w:t>
      </w:r>
      <w:proofErr w:type="spellEnd"/>
      <w:r w:rsidRPr="005F3228">
        <w:rPr>
          <w:rFonts w:ascii="David" w:hAnsi="David" w:cs="David"/>
          <w:rtl/>
        </w:rPr>
        <w:t xml:space="preserve">. </w:t>
      </w:r>
      <w:r w:rsidRPr="005F3228">
        <w:rPr>
          <w:rFonts w:ascii="David" w:hAnsi="David" w:cs="David" w:hint="eastAsia"/>
          <w:rtl/>
        </w:rPr>
        <w:t>וטוען</w:t>
      </w:r>
      <w:r w:rsidRPr="005F3228">
        <w:rPr>
          <w:rFonts w:ascii="David" w:hAnsi="David" w:cs="David"/>
          <w:rtl/>
        </w:rPr>
        <w:t xml:space="preserve"> </w:t>
      </w:r>
      <w:r w:rsidRPr="005F3228">
        <w:rPr>
          <w:rFonts w:ascii="David" w:hAnsi="David" w:cs="David" w:hint="eastAsia"/>
          <w:rtl/>
        </w:rPr>
        <w:t>כי</w:t>
      </w:r>
      <w:r w:rsidRPr="005F3228">
        <w:rPr>
          <w:rFonts w:ascii="David" w:hAnsi="David" w:cs="David"/>
          <w:rtl/>
        </w:rPr>
        <w:t xml:space="preserve"> </w:t>
      </w:r>
      <w:r w:rsidRPr="005F3228">
        <w:rPr>
          <w:rFonts w:ascii="David" w:hAnsi="David" w:cs="David" w:hint="eastAsia"/>
          <w:rtl/>
        </w:rPr>
        <w:t>במתחם</w:t>
      </w:r>
      <w:r w:rsidRPr="005F3228">
        <w:rPr>
          <w:rFonts w:ascii="David" w:hAnsi="David" w:cs="David"/>
          <w:rtl/>
        </w:rPr>
        <w:t xml:space="preserve"> </w:t>
      </w:r>
      <w:r w:rsidRPr="005F3228">
        <w:rPr>
          <w:rFonts w:ascii="David" w:hAnsi="David" w:cs="David" w:hint="eastAsia"/>
          <w:rtl/>
        </w:rPr>
        <w:t>שבין</w:t>
      </w:r>
      <w:r w:rsidRPr="005F3228">
        <w:rPr>
          <w:rFonts w:ascii="David" w:hAnsi="David" w:cs="David"/>
          <w:rtl/>
        </w:rPr>
        <w:t xml:space="preserve"> </w:t>
      </w:r>
      <w:r w:rsidRPr="005F3228">
        <w:rPr>
          <w:rFonts w:ascii="David" w:hAnsi="David" w:cs="David" w:hint="eastAsia"/>
          <w:rtl/>
        </w:rPr>
        <w:t>עמדותיהם</w:t>
      </w:r>
      <w:r w:rsidRPr="005F3228">
        <w:rPr>
          <w:rFonts w:ascii="David" w:hAnsi="David" w:cs="David"/>
          <w:rtl/>
        </w:rPr>
        <w:t xml:space="preserve"> "ניתן </w:t>
      </w:r>
      <w:r w:rsidRPr="005F3228">
        <w:rPr>
          <w:rFonts w:ascii="David" w:hAnsi="David" w:cs="David" w:hint="eastAsia"/>
          <w:rtl/>
        </w:rPr>
        <w:t>להכניס</w:t>
      </w:r>
      <w:r w:rsidRPr="005F3228">
        <w:rPr>
          <w:rFonts w:ascii="David" w:hAnsi="David" w:cs="David"/>
          <w:rtl/>
        </w:rPr>
        <w:t xml:space="preserve"> </w:t>
      </w:r>
      <w:r w:rsidRPr="005F3228">
        <w:rPr>
          <w:rFonts w:ascii="David" w:hAnsi="David" w:cs="David" w:hint="eastAsia"/>
          <w:rtl/>
        </w:rPr>
        <w:t>בנקל</w:t>
      </w:r>
      <w:r w:rsidRPr="005F3228">
        <w:rPr>
          <w:rFonts w:ascii="David" w:hAnsi="David" w:cs="David"/>
          <w:rtl/>
        </w:rPr>
        <w:t xml:space="preserve"> </w:t>
      </w:r>
      <w:r w:rsidRPr="005F3228">
        <w:rPr>
          <w:rFonts w:ascii="David" w:hAnsi="David" w:cs="David" w:hint="eastAsia"/>
          <w:rtl/>
        </w:rPr>
        <w:t>כמעט</w:t>
      </w:r>
      <w:r w:rsidRPr="005F3228">
        <w:rPr>
          <w:rFonts w:ascii="David" w:hAnsi="David" w:cs="David"/>
          <w:rtl/>
        </w:rPr>
        <w:t xml:space="preserve"> </w:t>
      </w:r>
      <w:r w:rsidRPr="005F3228">
        <w:rPr>
          <w:rFonts w:ascii="David" w:hAnsi="David" w:cs="David" w:hint="eastAsia"/>
          <w:rtl/>
        </w:rPr>
        <w:t>כל</w:t>
      </w:r>
      <w:r w:rsidRPr="005F3228">
        <w:rPr>
          <w:rFonts w:ascii="David" w:hAnsi="David" w:cs="David"/>
          <w:rtl/>
        </w:rPr>
        <w:t xml:space="preserve"> </w:t>
      </w:r>
      <w:r w:rsidRPr="005F3228">
        <w:rPr>
          <w:rFonts w:ascii="David" w:hAnsi="David" w:cs="David" w:hint="eastAsia"/>
          <w:rtl/>
        </w:rPr>
        <w:t>הכרעה</w:t>
      </w:r>
      <w:r w:rsidRPr="005F3228">
        <w:rPr>
          <w:rFonts w:ascii="David" w:hAnsi="David" w:cs="David"/>
          <w:rtl/>
        </w:rPr>
        <w:t xml:space="preserve"> </w:t>
      </w:r>
      <w:r w:rsidRPr="005F3228">
        <w:rPr>
          <w:rFonts w:ascii="David" w:hAnsi="David" w:cs="David" w:hint="eastAsia"/>
          <w:rtl/>
        </w:rPr>
        <w:t>אפשרית</w:t>
      </w:r>
      <w:r w:rsidRPr="005F3228">
        <w:rPr>
          <w:rFonts w:ascii="David" w:hAnsi="David" w:cs="David"/>
          <w:rtl/>
        </w:rPr>
        <w:t xml:space="preserve"> </w:t>
      </w:r>
      <w:r w:rsidRPr="005F3228">
        <w:rPr>
          <w:rFonts w:ascii="David" w:hAnsi="David" w:cs="David" w:hint="eastAsia"/>
          <w:rtl/>
        </w:rPr>
        <w:t>בעניין</w:t>
      </w:r>
      <w:r w:rsidRPr="005F3228">
        <w:rPr>
          <w:rFonts w:ascii="David" w:hAnsi="David" w:cs="David"/>
          <w:rtl/>
        </w:rPr>
        <w:t xml:space="preserve"> </w:t>
      </w:r>
      <w:r w:rsidRPr="005F3228">
        <w:rPr>
          <w:rFonts w:ascii="David" w:hAnsi="David" w:cs="David" w:hint="eastAsia"/>
          <w:rtl/>
        </w:rPr>
        <w:t>נתון</w:t>
      </w:r>
      <w:r w:rsidRPr="005F3228">
        <w:rPr>
          <w:rFonts w:ascii="David" w:hAnsi="David" w:cs="David"/>
          <w:rtl/>
        </w:rPr>
        <w:t xml:space="preserve">"). </w:t>
      </w:r>
      <w:r w:rsidRPr="005F3228">
        <w:rPr>
          <w:rFonts w:ascii="David" w:hAnsi="David" w:cs="David" w:hint="eastAsia"/>
          <w:rtl/>
        </w:rPr>
        <w:t>חסרון</w:t>
      </w:r>
      <w:r w:rsidRPr="005F3228">
        <w:rPr>
          <w:rFonts w:ascii="David" w:hAnsi="David" w:cs="David"/>
          <w:rtl/>
        </w:rPr>
        <w:t xml:space="preserve"> נוסף הנלווה לשימוש בסטנדרטים (לעומת כללים) הוא האפשרות כי הדבר יעלה את גובה עלויות ההתדיינויות המשפטיות. ראו </w:t>
      </w:r>
      <w:proofErr w:type="spellStart"/>
      <w:r w:rsidRPr="005F3228">
        <w:rPr>
          <w:rFonts w:ascii="David" w:hAnsi="David" w:cs="David"/>
          <w:rtl/>
        </w:rPr>
        <w:t>אלקין</w:t>
      </w:r>
      <w:proofErr w:type="spellEnd"/>
      <w:r w:rsidRPr="005F3228">
        <w:rPr>
          <w:rFonts w:ascii="David" w:hAnsi="David" w:cs="David"/>
          <w:rtl/>
        </w:rPr>
        <w:t xml:space="preserve">-קורן,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Ref28025711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3</w:t>
      </w:r>
      <w:r w:rsidRPr="005F3228">
        <w:rPr>
          <w:rFonts w:ascii="David" w:hAnsi="David" w:cs="David"/>
          <w:rtl/>
        </w:rPr>
        <w:fldChar w:fldCharType="end"/>
      </w:r>
      <w:r w:rsidRPr="005F3228">
        <w:rPr>
          <w:rFonts w:ascii="David" w:hAnsi="David" w:cs="David"/>
          <w:rtl/>
        </w:rPr>
        <w:t>, בע</w:t>
      </w:r>
      <w:r w:rsidRPr="005F3228">
        <w:rPr>
          <w:rFonts w:ascii="David" w:hAnsi="David" w:cs="David" w:hint="eastAsia"/>
          <w:rtl/>
        </w:rPr>
        <w:t>מ</w:t>
      </w:r>
      <w:r w:rsidRPr="005F3228">
        <w:rPr>
          <w:rFonts w:ascii="David" w:hAnsi="David" w:cs="David"/>
          <w:rtl/>
        </w:rPr>
        <w:t>' 37-38.</w:t>
      </w:r>
    </w:p>
  </w:footnote>
  <w:footnote w:id="45">
    <w:p w14:paraId="41FC9C83" w14:textId="32A192B9"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טור-סיני,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Ref27913542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37</w:t>
      </w:r>
      <w:r w:rsidRPr="005F3228">
        <w:rPr>
          <w:rFonts w:ascii="David" w:hAnsi="David" w:cs="David"/>
          <w:rtl/>
        </w:rPr>
        <w:fldChar w:fldCharType="end"/>
      </w:r>
      <w:r w:rsidRPr="005F3228">
        <w:rPr>
          <w:rFonts w:ascii="David" w:hAnsi="David" w:cs="David"/>
          <w:rtl/>
        </w:rPr>
        <w:t xml:space="preserve">, בעמ' 311.  </w:t>
      </w:r>
    </w:p>
  </w:footnote>
  <w:footnote w:id="46">
    <w:p w14:paraId="130D263C" w14:textId="74FED5A4"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b/>
          <w:bCs/>
          <w:rtl/>
        </w:rPr>
        <w:t>שם</w:t>
      </w:r>
      <w:r w:rsidRPr="005F3228">
        <w:rPr>
          <w:rFonts w:ascii="David" w:hAnsi="David" w:cs="David"/>
          <w:rtl/>
        </w:rPr>
        <w:t xml:space="preserve">, בעמ' 315-16. </w:t>
      </w:r>
      <w:r w:rsidRPr="005F3228">
        <w:rPr>
          <w:rFonts w:ascii="David" w:hAnsi="David" w:cs="David"/>
          <w:rtl/>
        </w:rPr>
        <w:t xml:space="preserve">ראו גם </w:t>
      </w:r>
      <w:proofErr w:type="spellStart"/>
      <w:r w:rsidRPr="005F3228">
        <w:rPr>
          <w:rFonts w:ascii="David" w:hAnsi="David" w:cs="David"/>
          <w:rtl/>
        </w:rPr>
        <w:t>אלקין</w:t>
      </w:r>
      <w:proofErr w:type="spellEnd"/>
      <w:r w:rsidRPr="005F3228">
        <w:rPr>
          <w:rFonts w:ascii="David" w:hAnsi="David" w:cs="David"/>
          <w:rtl/>
        </w:rPr>
        <w:t xml:space="preserve">-קורן,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Ref27913542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37</w:t>
      </w:r>
      <w:r w:rsidRPr="005F3228">
        <w:rPr>
          <w:rFonts w:ascii="David" w:hAnsi="David" w:cs="David"/>
          <w:rtl/>
        </w:rPr>
        <w:fldChar w:fldCharType="end"/>
      </w:r>
      <w:r w:rsidRPr="005F3228">
        <w:rPr>
          <w:rFonts w:ascii="David" w:hAnsi="David" w:cs="David"/>
          <w:rtl/>
        </w:rPr>
        <w:t xml:space="preserve">, בעמ' 65, העומדת על כך ש"הגדרתו של היקף ההגנה האופטימלי במוצרי מידע לסוגיהם השונים הנה סוגיה סבוכה המחייבת נתונים אמפיריים בנוגע לאופי המוצר, חיוניותו, אמצעי הייצור וההפצה, מבנה השוק, בשלות השוק והטכנולוגיה ועוד". לטענות דומות (בהקשר אחר) באשר ליתרונותיו של הסדר חקיקתי, השוו מיכאל </w:t>
      </w:r>
      <w:proofErr w:type="spellStart"/>
      <w:r w:rsidRPr="005F3228">
        <w:rPr>
          <w:rFonts w:ascii="David" w:hAnsi="David" w:cs="David"/>
          <w:rtl/>
        </w:rPr>
        <w:t>בירנהק</w:t>
      </w:r>
      <w:proofErr w:type="spellEnd"/>
      <w:r w:rsidRPr="005F3228">
        <w:rPr>
          <w:rFonts w:ascii="David" w:hAnsi="David" w:cs="David"/>
          <w:rtl/>
        </w:rPr>
        <w:t xml:space="preserve">, "לידתה של עוולה: הפרה תורמת בדיני פטנטים", </w:t>
      </w:r>
      <w:r w:rsidRPr="005F3228">
        <w:rPr>
          <w:rFonts w:ascii="David" w:hAnsi="David" w:cs="David"/>
          <w:b/>
          <w:bCs/>
          <w:rtl/>
        </w:rPr>
        <w:t>טכנולוגיות של צדק: משפט, מדע וחברה</w:t>
      </w:r>
      <w:r w:rsidRPr="005F3228">
        <w:rPr>
          <w:rFonts w:ascii="David" w:hAnsi="David" w:cs="David"/>
          <w:rtl/>
        </w:rPr>
        <w:t xml:space="preserve"> (ש' לביא עורך, תשס"ג) 169, 186.</w:t>
      </w:r>
    </w:p>
  </w:footnote>
  <w:footnote w:id="47">
    <w:p w14:paraId="7A807AB3"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סעיף 188א להצעת חוק הפטנטים (תיקון מס' 12) (פרסום בקשות פטנט), התשע"א-2011, </w:t>
      </w:r>
      <w:proofErr w:type="spellStart"/>
      <w:r w:rsidRPr="005F3228">
        <w:rPr>
          <w:rFonts w:ascii="David" w:hAnsi="David" w:cs="David"/>
          <w:rtl/>
        </w:rPr>
        <w:t>ה"ח</w:t>
      </w:r>
      <w:proofErr w:type="spellEnd"/>
      <w:r w:rsidRPr="005F3228">
        <w:rPr>
          <w:rFonts w:ascii="David" w:hAnsi="David" w:cs="David"/>
          <w:rtl/>
        </w:rPr>
        <w:t xml:space="preserve"> הממשלה 1250 (להלן: "הצעת חוק הפטנטים"). </w:t>
      </w:r>
    </w:p>
  </w:footnote>
  <w:footnote w:id="48">
    <w:p w14:paraId="2DF019FE"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תזכיר הצעת חוק הפטנטים (תיקון – פרסום בקשות פטנט), התש"ע-2010.</w:t>
      </w:r>
    </w:p>
  </w:footnote>
  <w:footnote w:id="49">
    <w:p w14:paraId="6F21ED94" w14:textId="76B725DD"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הצעת חוק הפטנטים,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Ref27910706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45</w:t>
      </w:r>
      <w:r w:rsidRPr="005F3228">
        <w:rPr>
          <w:rFonts w:ascii="David" w:hAnsi="David" w:cs="David"/>
          <w:rtl/>
        </w:rPr>
        <w:fldChar w:fldCharType="end"/>
      </w:r>
      <w:r w:rsidRPr="005F3228">
        <w:rPr>
          <w:rFonts w:ascii="David" w:hAnsi="David" w:cs="David"/>
          <w:rtl/>
        </w:rPr>
        <w:t xml:space="preserve">, בעמ' 1253. </w:t>
      </w:r>
    </w:p>
  </w:footnote>
  <w:footnote w:id="50">
    <w:p w14:paraId="03A42B79"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רע"א 6025/05 </w:t>
      </w:r>
      <w:r w:rsidRPr="005F3228">
        <w:rPr>
          <w:rFonts w:ascii="David" w:hAnsi="David" w:cs="David"/>
          <w:b/>
          <w:bCs/>
        </w:rPr>
        <w:t>Merck &amp; Co. Inc.</w:t>
      </w:r>
      <w:r w:rsidRPr="005F3228">
        <w:rPr>
          <w:rFonts w:ascii="David" w:hAnsi="David" w:cs="David"/>
          <w:b/>
          <w:bCs/>
          <w:rtl/>
        </w:rPr>
        <w:t xml:space="preserve"> ואח' נ' טבע תעשיות פרמצבטיות בע"מ ואח' </w:t>
      </w:r>
      <w:r w:rsidRPr="005F3228">
        <w:rPr>
          <w:rFonts w:ascii="David" w:hAnsi="David" w:cs="David"/>
          <w:rtl/>
        </w:rPr>
        <w:t>(2011).</w:t>
      </w:r>
    </w:p>
  </w:footnote>
  <w:footnote w:id="51">
    <w:p w14:paraId="4C24793A" w14:textId="77777777" w:rsidR="00F06EA1" w:rsidRPr="005F3228" w:rsidRDefault="00F06EA1" w:rsidP="000D19A0">
      <w:pPr>
        <w:spacing w:after="0" w:line="240" w:lineRule="auto"/>
        <w:jc w:val="both"/>
        <w:rPr>
          <w:rFonts w:ascii="David" w:hAnsi="David" w:cs="David"/>
          <w:sz w:val="20"/>
          <w:szCs w:val="20"/>
          <w:rtl/>
        </w:rPr>
      </w:pPr>
      <w:r w:rsidRPr="005F3228">
        <w:rPr>
          <w:rStyle w:val="FootnoteReference"/>
          <w:rFonts w:ascii="David" w:hAnsi="David" w:cs="David"/>
          <w:sz w:val="20"/>
          <w:szCs w:val="20"/>
        </w:rPr>
        <w:footnoteRef/>
      </w:r>
      <w:r w:rsidRPr="005F3228">
        <w:rPr>
          <w:rFonts w:ascii="David" w:hAnsi="David" w:cs="David"/>
          <w:sz w:val="20"/>
          <w:szCs w:val="20"/>
          <w:rtl/>
        </w:rPr>
        <w:t xml:space="preserve"> ראו פרוטוקול ישיבת ועדת החוקה, חוק ומשפט מתאריך 13.3.2012. למיטב ידיעתנו העניין לא הובא לדיון בשנית.</w:t>
      </w:r>
    </w:p>
  </w:footnote>
  <w:footnote w:id="52">
    <w:p w14:paraId="2E4B8FB8"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הצעת חוק העיצובים, התשע"ה-2015, </w:t>
      </w:r>
      <w:proofErr w:type="spellStart"/>
      <w:r w:rsidRPr="005F3228">
        <w:rPr>
          <w:rFonts w:ascii="David" w:hAnsi="David" w:cs="David"/>
          <w:rtl/>
        </w:rPr>
        <w:t>ה"ח</w:t>
      </w:r>
      <w:proofErr w:type="spellEnd"/>
      <w:r w:rsidRPr="005F3228">
        <w:rPr>
          <w:rFonts w:ascii="David" w:hAnsi="David" w:cs="David"/>
          <w:rtl/>
        </w:rPr>
        <w:t xml:space="preserve"> הממשלה 696, 700 (להלן: "הצעת חוק העיצובים").</w:t>
      </w:r>
    </w:p>
  </w:footnote>
  <w:footnote w:id="53">
    <w:p w14:paraId="23D56408" w14:textId="5AEA3AB9"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ראו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Ref27914270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27</w:t>
      </w:r>
      <w:r w:rsidRPr="005F3228">
        <w:rPr>
          <w:rFonts w:ascii="David" w:hAnsi="David" w:cs="David"/>
          <w:rtl/>
        </w:rPr>
        <w:fldChar w:fldCharType="end"/>
      </w:r>
      <w:r w:rsidRPr="005F3228">
        <w:rPr>
          <w:rFonts w:ascii="David" w:hAnsi="David" w:cs="David"/>
          <w:rtl/>
        </w:rPr>
        <w:t xml:space="preserve"> </w:t>
      </w:r>
      <w:proofErr w:type="spellStart"/>
      <w:r w:rsidRPr="005F3228">
        <w:rPr>
          <w:rFonts w:ascii="David" w:hAnsi="David" w:cs="David"/>
          <w:rtl/>
        </w:rPr>
        <w:t>והטכסט</w:t>
      </w:r>
      <w:proofErr w:type="spellEnd"/>
      <w:r w:rsidRPr="005F3228">
        <w:rPr>
          <w:rFonts w:ascii="David" w:hAnsi="David" w:cs="David"/>
          <w:rtl/>
        </w:rPr>
        <w:t xml:space="preserve"> לידה.   </w:t>
      </w:r>
    </w:p>
  </w:footnote>
  <w:footnote w:id="54">
    <w:p w14:paraId="4C6B46BF" w14:textId="17232352"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עניין </w:t>
      </w:r>
      <w:r w:rsidRPr="005F3228">
        <w:rPr>
          <w:rFonts w:ascii="David" w:hAnsi="David" w:cs="David"/>
          <w:b/>
          <w:bCs/>
        </w:rPr>
        <w:t>Fisher Price</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Ref27910752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7</w:t>
      </w:r>
      <w:r w:rsidRPr="005F3228">
        <w:rPr>
          <w:rFonts w:ascii="David" w:hAnsi="David" w:cs="David"/>
          <w:rtl/>
        </w:rPr>
        <w:fldChar w:fldCharType="end"/>
      </w:r>
      <w:r w:rsidRPr="005F3228">
        <w:rPr>
          <w:rFonts w:ascii="David" w:hAnsi="David" w:cs="David"/>
          <w:rtl/>
        </w:rPr>
        <w:t>.</w:t>
      </w:r>
    </w:p>
  </w:footnote>
  <w:footnote w:id="55">
    <w:p w14:paraId="4A85DDEF" w14:textId="650EB95E"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עמדת היועץ המשפטי בעניין </w:t>
      </w:r>
      <w:r w:rsidRPr="005F3228">
        <w:rPr>
          <w:rFonts w:ascii="David" w:hAnsi="David" w:cs="David"/>
        </w:rPr>
        <w:t>Fisher Price</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Ref27910752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7</w:t>
      </w:r>
      <w:r w:rsidRPr="005F3228">
        <w:rPr>
          <w:rFonts w:ascii="David" w:hAnsi="David" w:cs="David"/>
          <w:rtl/>
        </w:rPr>
        <w:fldChar w:fldCharType="end"/>
      </w:r>
      <w:r w:rsidRPr="005F3228">
        <w:rPr>
          <w:rFonts w:ascii="David" w:hAnsi="David" w:cs="David"/>
          <w:rtl/>
        </w:rPr>
        <w:t>, בעמ' 13.</w:t>
      </w:r>
      <w:r w:rsidRPr="005F3228">
        <w:rPr>
          <w:rFonts w:ascii="David" w:hAnsi="David" w:cs="David"/>
          <w:b/>
          <w:bCs/>
          <w:rtl/>
        </w:rPr>
        <w:t xml:space="preserve"> </w:t>
      </w:r>
    </w:p>
  </w:footnote>
  <w:footnote w:id="56">
    <w:p w14:paraId="0C9FFDC8" w14:textId="3514E77E"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עניין </w:t>
      </w:r>
      <w:r w:rsidRPr="005F3228">
        <w:rPr>
          <w:rFonts w:ascii="David" w:hAnsi="David" w:cs="David"/>
          <w:b/>
          <w:bCs/>
        </w:rPr>
        <w:t>Fisher Price</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Ref27910752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7</w:t>
      </w:r>
      <w:r w:rsidRPr="005F3228">
        <w:rPr>
          <w:rFonts w:ascii="David" w:hAnsi="David" w:cs="David"/>
          <w:rtl/>
        </w:rPr>
        <w:fldChar w:fldCharType="end"/>
      </w:r>
      <w:r w:rsidRPr="005F3228">
        <w:rPr>
          <w:rFonts w:ascii="David" w:hAnsi="David" w:cs="David"/>
          <w:rtl/>
        </w:rPr>
        <w:t>, בפסקה פד.</w:t>
      </w:r>
    </w:p>
  </w:footnote>
  <w:footnote w:id="57">
    <w:p w14:paraId="1B473698" w14:textId="47F3529B" w:rsidR="00F06EA1" w:rsidRPr="005F3228" w:rsidRDefault="00F06EA1" w:rsidP="009F0092">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ראו, </w:t>
      </w:r>
      <w:r w:rsidRPr="005F3228">
        <w:rPr>
          <w:rFonts w:ascii="David" w:hAnsi="David" w:cs="David" w:hint="eastAsia"/>
          <w:rtl/>
        </w:rPr>
        <w:t>בפרט</w:t>
      </w:r>
      <w:r w:rsidRPr="005F3228">
        <w:rPr>
          <w:rFonts w:ascii="David" w:hAnsi="David" w:cs="David"/>
          <w:rtl/>
        </w:rPr>
        <w:t xml:space="preserve">, יוסי </w:t>
      </w:r>
      <w:proofErr w:type="spellStart"/>
      <w:r w:rsidRPr="005F3228">
        <w:rPr>
          <w:rFonts w:ascii="David" w:hAnsi="David" w:cs="David"/>
          <w:rtl/>
        </w:rPr>
        <w:t>מרקוביץ</w:t>
      </w:r>
      <w:proofErr w:type="spellEnd"/>
      <w:r w:rsidRPr="005F3228">
        <w:rPr>
          <w:rFonts w:ascii="David" w:hAnsi="David" w:cs="David"/>
          <w:rtl/>
        </w:rPr>
        <w:t xml:space="preserve">', "על מה שנשאר מהלכת </w:t>
      </w:r>
      <w:proofErr w:type="spellStart"/>
      <w:r w:rsidRPr="005F3228">
        <w:rPr>
          <w:rFonts w:ascii="David" w:hAnsi="David" w:cs="David"/>
          <w:rtl/>
        </w:rPr>
        <w:t>א.ש.י.ר</w:t>
      </w:r>
      <w:proofErr w:type="spellEnd"/>
      <w:r w:rsidRPr="005F3228">
        <w:rPr>
          <w:rFonts w:ascii="David" w:hAnsi="David" w:cs="David"/>
          <w:rtl/>
        </w:rPr>
        <w:t xml:space="preserve">: עיון מחדש ביחסי הקניין הרוחני ועשיית העושר", </w:t>
      </w:r>
      <w:r w:rsidRPr="005F3228">
        <w:rPr>
          <w:rFonts w:ascii="David" w:hAnsi="David" w:cs="David"/>
          <w:b/>
          <w:bCs/>
          <w:rtl/>
        </w:rPr>
        <w:t>שערי משפט</w:t>
      </w:r>
      <w:r w:rsidRPr="005F3228">
        <w:rPr>
          <w:rFonts w:ascii="David" w:hAnsi="David" w:cs="David"/>
          <w:rtl/>
        </w:rPr>
        <w:t xml:space="preserve"> ז 35 (2014). המחבר מנתח פסקי דין מרכזיים שניתנו בעקבות </w:t>
      </w:r>
      <w:proofErr w:type="spellStart"/>
      <w:r w:rsidRPr="005F3228">
        <w:rPr>
          <w:rFonts w:ascii="David" w:hAnsi="David" w:cs="David"/>
          <w:rtl/>
        </w:rPr>
        <w:t>א.ש.י.ר</w:t>
      </w:r>
      <w:proofErr w:type="spellEnd"/>
      <w:r w:rsidRPr="005F3228">
        <w:rPr>
          <w:rFonts w:ascii="David" w:hAnsi="David" w:cs="David"/>
          <w:rtl/>
        </w:rPr>
        <w:t xml:space="preserve"> וטוען כי החששות שהביעו </w:t>
      </w:r>
      <w:r w:rsidRPr="005F3228">
        <w:rPr>
          <w:rFonts w:ascii="David" w:hAnsi="David" w:cs="David" w:hint="eastAsia"/>
          <w:rtl/>
        </w:rPr>
        <w:t>מבקרי</w:t>
      </w:r>
      <w:r w:rsidRPr="005F3228">
        <w:rPr>
          <w:rFonts w:ascii="David" w:hAnsi="David" w:cs="David"/>
          <w:rtl/>
        </w:rPr>
        <w:t xml:space="preserve"> ההלכה התבררו כבלתי מוצדקים, וכי </w:t>
      </w:r>
      <w:r w:rsidRPr="005F3228">
        <w:rPr>
          <w:rFonts w:ascii="David" w:hAnsi="David" w:cs="David"/>
          <w:rtl/>
          <w:lang w:val="de-DE"/>
        </w:rPr>
        <w:t xml:space="preserve">בתי המשפט קראו את </w:t>
      </w:r>
      <w:proofErr w:type="spellStart"/>
      <w:r w:rsidRPr="005F3228">
        <w:rPr>
          <w:rFonts w:ascii="David" w:hAnsi="David" w:cs="David"/>
          <w:rtl/>
          <w:lang w:val="de-DE"/>
        </w:rPr>
        <w:t>א.ש.י.ר</w:t>
      </w:r>
      <w:proofErr w:type="spellEnd"/>
      <w:r w:rsidRPr="005F3228">
        <w:rPr>
          <w:rFonts w:ascii="David" w:hAnsi="David" w:cs="David"/>
          <w:rtl/>
          <w:lang w:val="de-DE"/>
        </w:rPr>
        <w:t xml:space="preserve"> כהלכה תקדימית אך מצומצמת, </w:t>
      </w:r>
      <w:r w:rsidRPr="005F3228">
        <w:rPr>
          <w:rFonts w:ascii="David" w:hAnsi="David" w:cs="David" w:hint="eastAsia"/>
          <w:rtl/>
          <w:lang w:val="de-DE"/>
        </w:rPr>
        <w:t>המאפשרת</w:t>
      </w:r>
      <w:r w:rsidRPr="005F3228">
        <w:rPr>
          <w:rFonts w:ascii="David" w:hAnsi="David" w:cs="David"/>
          <w:rtl/>
          <w:lang w:val="de-DE"/>
        </w:rPr>
        <w:t xml:space="preserve"> להם להשלים </w:t>
      </w:r>
      <w:r w:rsidRPr="005F3228">
        <w:rPr>
          <w:rFonts w:ascii="David" w:hAnsi="David" w:cs="David" w:hint="eastAsia"/>
          <w:rtl/>
          <w:lang w:val="de-DE"/>
        </w:rPr>
        <w:t>חסרים</w:t>
      </w:r>
      <w:r w:rsidRPr="005F3228">
        <w:rPr>
          <w:rFonts w:ascii="David" w:hAnsi="David" w:cs="David"/>
          <w:rtl/>
          <w:lang w:val="de-DE"/>
        </w:rPr>
        <w:t xml:space="preserve"> ולפתח את הדין במקרים חריגים בלבד.</w:t>
      </w:r>
      <w:r w:rsidRPr="005F3228">
        <w:rPr>
          <w:rFonts w:ascii="David" w:hAnsi="David" w:cs="David"/>
          <w:rtl/>
        </w:rPr>
        <w:t xml:space="preserve"> </w:t>
      </w:r>
      <w:r w:rsidRPr="005F3228">
        <w:rPr>
          <w:rFonts w:ascii="David" w:hAnsi="David" w:cs="David" w:hint="cs"/>
          <w:rtl/>
        </w:rPr>
        <w:t xml:space="preserve">להערכות נוספות ברוח זו מצד שופטים ראו </w:t>
      </w:r>
      <w:r w:rsidRPr="005F3228">
        <w:rPr>
          <w:rFonts w:ascii="David" w:hAnsi="David" w:cs="David" w:hint="cs"/>
          <w:b/>
          <w:bCs/>
          <w:rtl/>
        </w:rPr>
        <w:t>להלן</w:t>
      </w:r>
      <w:r w:rsidRPr="005F3228">
        <w:rPr>
          <w:rFonts w:ascii="David" w:hAnsi="David" w:cs="David" w:hint="cs"/>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hint="cs"/>
        </w:rPr>
        <w:instrText>NOTEREF</w:instrText>
      </w:r>
      <w:r w:rsidRPr="005F3228">
        <w:rPr>
          <w:rFonts w:ascii="David" w:hAnsi="David" w:cs="David" w:hint="cs"/>
          <w:rtl/>
        </w:rPr>
        <w:instrText xml:space="preserve"> _</w:instrText>
      </w:r>
      <w:r w:rsidRPr="005F3228">
        <w:rPr>
          <w:rFonts w:ascii="David" w:hAnsi="David" w:cs="David" w:hint="cs"/>
        </w:rPr>
        <w:instrText>Ref39480804 \h</w:instrText>
      </w:r>
      <w:r w:rsidRPr="005F3228">
        <w:rPr>
          <w:rFonts w:ascii="David" w:hAnsi="David" w:cs="David"/>
          <w:rtl/>
        </w:rPr>
        <w:instrText xml:space="preserve"> </w:instrText>
      </w:r>
      <w:r w:rsidRPr="005F3228">
        <w:rPr>
          <w:rFonts w:ascii="David" w:hAnsi="David" w:cs="David"/>
          <w:rtl/>
        </w:rPr>
      </w:r>
      <w:r w:rsidR="007D2687" w:rsidRPr="005F3228">
        <w:rPr>
          <w:rFonts w:ascii="David" w:hAnsi="David" w:cs="David"/>
          <w:rtl/>
        </w:rPr>
        <w:instrText xml:space="preserve"> \* </w:instrText>
      </w:r>
      <w:r w:rsidR="007D2687" w:rsidRPr="005F3228">
        <w:rPr>
          <w:rFonts w:ascii="David" w:hAnsi="David" w:cs="David"/>
        </w:rPr>
        <w:instrText>MERGEFORMAT</w:instrText>
      </w:r>
      <w:r w:rsidR="007D2687" w:rsidRPr="005F3228">
        <w:rPr>
          <w:rFonts w:ascii="David" w:hAnsi="David" w:cs="David"/>
          <w:rtl/>
        </w:rPr>
        <w:instrText xml:space="preserve"> </w:instrText>
      </w:r>
      <w:r w:rsidRPr="005F3228">
        <w:rPr>
          <w:rFonts w:ascii="David" w:hAnsi="David" w:cs="David"/>
          <w:rtl/>
        </w:rPr>
        <w:fldChar w:fldCharType="separate"/>
      </w:r>
      <w:r w:rsidRPr="005F3228">
        <w:rPr>
          <w:rFonts w:ascii="David" w:hAnsi="David" w:cs="David"/>
          <w:rtl/>
        </w:rPr>
        <w:t>130</w:t>
      </w:r>
      <w:r w:rsidRPr="005F3228">
        <w:rPr>
          <w:rFonts w:ascii="David" w:hAnsi="David" w:cs="David"/>
          <w:rtl/>
        </w:rPr>
        <w:fldChar w:fldCharType="end"/>
      </w:r>
      <w:r w:rsidRPr="005F3228">
        <w:rPr>
          <w:rFonts w:ascii="David" w:hAnsi="David" w:cs="David" w:hint="cs"/>
          <w:rtl/>
        </w:rPr>
        <w:t xml:space="preserve">. </w:t>
      </w:r>
    </w:p>
  </w:footnote>
  <w:footnote w:id="58">
    <w:p w14:paraId="1606194C" w14:textId="77777777" w:rsidR="00F06EA1" w:rsidRPr="005F3228" w:rsidRDefault="00F06EA1" w:rsidP="000D19A0">
      <w:pPr>
        <w:pStyle w:val="FootnoteText"/>
        <w:jc w:val="both"/>
        <w:rPr>
          <w:rFonts w:ascii="David" w:hAnsi="David" w:cs="David"/>
          <w:color w:val="FF0000"/>
        </w:rPr>
      </w:pPr>
      <w:r w:rsidRPr="005F3228">
        <w:rPr>
          <w:rStyle w:val="FootnoteReference"/>
          <w:rFonts w:ascii="David" w:hAnsi="David" w:cs="David"/>
        </w:rPr>
        <w:footnoteRef/>
      </w:r>
      <w:r w:rsidRPr="005F3228">
        <w:rPr>
          <w:rFonts w:ascii="David" w:hAnsi="David" w:cs="David"/>
          <w:rtl/>
        </w:rPr>
        <w:t xml:space="preserve"> בנוסף לכך, כללנו במאגר גם מקרים שבהם התביעה התבססה על עוולת גניבת העין לצד עשיית עושר ולא במשפט – להרחבה בעניין זה ראו </w:t>
      </w:r>
      <w:r w:rsidRPr="005F3228">
        <w:rPr>
          <w:rFonts w:ascii="David" w:hAnsi="David" w:cs="David"/>
          <w:u w:val="single"/>
          <w:rtl/>
        </w:rPr>
        <w:t>נספח א'</w:t>
      </w:r>
      <w:r w:rsidRPr="005F3228">
        <w:rPr>
          <w:rFonts w:ascii="David" w:hAnsi="David" w:cs="David"/>
          <w:rtl/>
        </w:rPr>
        <w:t xml:space="preserve">. </w:t>
      </w:r>
    </w:p>
  </w:footnote>
  <w:footnote w:id="59">
    <w:p w14:paraId="0305354E"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לפירוט אופן החיפוש ומילות החיפוש שנבחרו ראו </w:t>
      </w:r>
      <w:r w:rsidRPr="005F3228">
        <w:rPr>
          <w:rFonts w:ascii="David" w:hAnsi="David" w:cs="David"/>
          <w:u w:val="single"/>
          <w:rtl/>
        </w:rPr>
        <w:t>נספח א'</w:t>
      </w:r>
      <w:r w:rsidRPr="005F3228">
        <w:rPr>
          <w:rFonts w:ascii="David" w:hAnsi="David" w:cs="David"/>
          <w:rtl/>
        </w:rPr>
        <w:t xml:space="preserve"> להלן.</w:t>
      </w:r>
    </w:p>
  </w:footnote>
  <w:footnote w:id="60">
    <w:p w14:paraId="79DAA9C1" w14:textId="77777777" w:rsidR="00F06EA1" w:rsidRPr="005F3228" w:rsidRDefault="00F06EA1" w:rsidP="000D19A0">
      <w:pPr>
        <w:spacing w:after="0" w:line="240" w:lineRule="auto"/>
        <w:jc w:val="both"/>
        <w:rPr>
          <w:rFonts w:ascii="David" w:hAnsi="David" w:cs="David"/>
          <w:sz w:val="20"/>
          <w:szCs w:val="20"/>
          <w:rtl/>
        </w:rPr>
      </w:pPr>
      <w:r w:rsidRPr="005F3228">
        <w:rPr>
          <w:rStyle w:val="FootnoteReference"/>
          <w:rFonts w:ascii="David" w:hAnsi="David" w:cs="David"/>
          <w:sz w:val="20"/>
          <w:szCs w:val="20"/>
        </w:rPr>
        <w:footnoteRef/>
      </w:r>
      <w:r w:rsidRPr="005F3228">
        <w:rPr>
          <w:rFonts w:ascii="David" w:hAnsi="David" w:cs="David"/>
          <w:sz w:val="20"/>
          <w:szCs w:val="20"/>
          <w:rtl/>
        </w:rPr>
        <w:t xml:space="preserve"> מדובר, למשל, במקרים בהם פסק הדין </w:t>
      </w:r>
      <w:proofErr w:type="spellStart"/>
      <w:r w:rsidRPr="005F3228">
        <w:rPr>
          <w:rFonts w:ascii="David" w:hAnsi="David" w:cs="David"/>
          <w:sz w:val="20"/>
          <w:szCs w:val="20"/>
          <w:rtl/>
        </w:rPr>
        <w:t>א.ש.י.ר</w:t>
      </w:r>
      <w:proofErr w:type="spellEnd"/>
      <w:r w:rsidRPr="005F3228">
        <w:rPr>
          <w:rFonts w:ascii="David" w:hAnsi="David" w:cs="David"/>
          <w:sz w:val="20"/>
          <w:szCs w:val="20"/>
          <w:rtl/>
        </w:rPr>
        <w:t xml:space="preserve">. אוזכר בהקשר לתביעות שלא עסקו בתחום הקניין הרוחני אלא בעילות אחרות  מתחומי המשפט הפרטי, דוגמת דיני חוזים.  </w:t>
      </w:r>
    </w:p>
  </w:footnote>
  <w:footnote w:id="61">
    <w:p w14:paraId="54AF48B3"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ראו, למשל, בש"א (מחוזי י-ם) 2343/03 </w:t>
      </w:r>
      <w:r w:rsidRPr="005F3228">
        <w:rPr>
          <w:rFonts w:ascii="David" w:hAnsi="David" w:cs="David"/>
          <w:b/>
          <w:bCs/>
          <w:rtl/>
        </w:rPr>
        <w:t xml:space="preserve">קליק נ' </w:t>
      </w:r>
      <w:proofErr w:type="spellStart"/>
      <w:r w:rsidRPr="005F3228">
        <w:rPr>
          <w:rFonts w:ascii="David" w:hAnsi="David" w:cs="David"/>
          <w:b/>
          <w:bCs/>
          <w:rtl/>
        </w:rPr>
        <w:t>רו</w:t>
      </w:r>
      <w:proofErr w:type="spellEnd"/>
      <w:r w:rsidRPr="005F3228">
        <w:rPr>
          <w:rFonts w:ascii="David" w:hAnsi="David" w:cs="David"/>
          <w:b/>
          <w:bCs/>
          <w:rtl/>
        </w:rPr>
        <w:t>-דן אופנה</w:t>
      </w:r>
      <w:r w:rsidRPr="005F3228">
        <w:rPr>
          <w:rFonts w:ascii="David" w:hAnsi="David" w:cs="David"/>
          <w:rtl/>
        </w:rPr>
        <w:t xml:space="preserve"> (2003), פסקה 23, שם עמד בית המשפט על כך שבתחום הקניין הרוחני, "עשויה מידת ההוכחה הדרושה לעניין הצו הזמני להיות גבוהה מהרגיל, זאת לאור הפגיעה האפשרית בחופש העיסוק והגבלת התחרות הכרוכה בכך".</w:t>
      </w:r>
    </w:p>
  </w:footnote>
  <w:footnote w:id="62">
    <w:p w14:paraId="6384E80C"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המחקר שלנו ממחיש עניין זה בצורה טובה, שכן מתוך 118 המקרים האמורים, רק ב-13 מקרים ניתן בהמשך גם פסק דין סופי (מתוכם, אגב, ב-5 מקרים ההכרעה בעילות התביעה בפסק הדין הסופי הייתה שונה מן ההכרעה במסגרת החלטת הביניים). </w:t>
      </w:r>
      <w:r w:rsidRPr="005F3228">
        <w:rPr>
          <w:rFonts w:ascii="David" w:hAnsi="David" w:cs="David" w:hint="eastAsia"/>
          <w:rtl/>
        </w:rPr>
        <w:t>ב</w:t>
      </w:r>
      <w:r w:rsidRPr="005F3228">
        <w:rPr>
          <w:rFonts w:ascii="David" w:hAnsi="David" w:cs="David"/>
          <w:rtl/>
        </w:rPr>
        <w:t>-13 המקרים האמורים כללנו במאגר הן את החלטת הביניים והן את פסק הדין הסופי.</w:t>
      </w:r>
    </w:p>
  </w:footnote>
  <w:footnote w:id="63">
    <w:p w14:paraId="7CC6F936"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מדובר בסך הכול ב-36 מקרים, מתוכם – ב-11 מקרים נהפכה ההכרעה בערעור.</w:t>
      </w:r>
    </w:p>
  </w:footnote>
  <w:footnote w:id="64">
    <w:p w14:paraId="7853792F" w14:textId="2D5590C1"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כינוי זה לקבוצת המקרים האמורה נועד לשקף את העובדה שבאותן החלטות, בדומה להלכת </w:t>
      </w:r>
      <w:proofErr w:type="spellStart"/>
      <w:r w:rsidRPr="005F3228">
        <w:rPr>
          <w:rFonts w:ascii="David" w:hAnsi="David" w:cs="David"/>
          <w:rtl/>
        </w:rPr>
        <w:t>א.ש.י.ר</w:t>
      </w:r>
      <w:proofErr w:type="spellEnd"/>
      <w:r w:rsidRPr="005F3228">
        <w:rPr>
          <w:rFonts w:ascii="David" w:hAnsi="David" w:cs="David"/>
          <w:rtl/>
        </w:rPr>
        <w:t xml:space="preserve">., הוכרה האפשרות לקבל סעד בעשיית עושר חרף העדרה של זכות </w:t>
      </w:r>
      <w:proofErr w:type="spellStart"/>
      <w:r w:rsidRPr="005F3228">
        <w:rPr>
          <w:rFonts w:ascii="David" w:hAnsi="David" w:cs="David"/>
          <w:rtl/>
        </w:rPr>
        <w:t>מכח</w:t>
      </w:r>
      <w:proofErr w:type="spellEnd"/>
      <w:r w:rsidRPr="005F3228">
        <w:rPr>
          <w:rFonts w:ascii="David" w:hAnsi="David" w:cs="David"/>
          <w:rtl/>
        </w:rPr>
        <w:t xml:space="preserve"> דיני הקניין הרוחני. </w:t>
      </w:r>
      <w:r w:rsidRPr="005F3228">
        <w:rPr>
          <w:rFonts w:ascii="David" w:hAnsi="David" w:cs="David"/>
          <w:rtl/>
        </w:rPr>
        <w:t xml:space="preserve">נציין שחלק קטן מן ההחלטות הללו סווגו כ"דמויי </w:t>
      </w:r>
      <w:proofErr w:type="spellStart"/>
      <w:r w:rsidRPr="005F3228">
        <w:rPr>
          <w:rFonts w:ascii="David" w:hAnsi="David" w:cs="David"/>
          <w:rtl/>
        </w:rPr>
        <w:t>א.ש.י.ר</w:t>
      </w:r>
      <w:proofErr w:type="spellEnd"/>
      <w:r w:rsidRPr="005F3228">
        <w:rPr>
          <w:rFonts w:ascii="David" w:hAnsi="David" w:cs="David"/>
          <w:rtl/>
        </w:rPr>
        <w:t xml:space="preserve">." מטעמי זהירות, ולמרות שניתן היה לדעתנו לסווג אותן גם באופן אחר – ראו ההבהרות בפרק ג' להלן (לרבות הערות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Ref28324828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78</w:t>
      </w:r>
      <w:r w:rsidRPr="005F3228">
        <w:rPr>
          <w:rFonts w:ascii="David" w:hAnsi="David" w:cs="David"/>
          <w:rtl/>
        </w:rPr>
        <w:fldChar w:fldCharType="end"/>
      </w:r>
      <w:r w:rsidRPr="005F3228">
        <w:rPr>
          <w:rFonts w:ascii="David" w:hAnsi="David" w:cs="David"/>
          <w:rtl/>
        </w:rPr>
        <w:t xml:space="preserve">,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Ref28466044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94</w:t>
      </w:r>
      <w:r w:rsidRPr="005F3228">
        <w:rPr>
          <w:rFonts w:ascii="David" w:hAnsi="David" w:cs="David"/>
          <w:rtl/>
        </w:rPr>
        <w:fldChar w:fldCharType="end"/>
      </w:r>
      <w:r w:rsidRPr="005F3228">
        <w:rPr>
          <w:rFonts w:ascii="David" w:hAnsi="David" w:cs="David"/>
          <w:rtl/>
        </w:rPr>
        <w:t xml:space="preserve"> ו-</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Ref28468110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109</w:t>
      </w:r>
      <w:r w:rsidRPr="005F3228">
        <w:rPr>
          <w:rFonts w:ascii="David" w:hAnsi="David" w:cs="David"/>
          <w:rtl/>
        </w:rPr>
        <w:fldChar w:fldCharType="end"/>
      </w:r>
      <w:r w:rsidRPr="005F3228">
        <w:rPr>
          <w:rFonts w:ascii="David" w:hAnsi="David" w:cs="David"/>
          <w:rtl/>
        </w:rPr>
        <w:t xml:space="preserve">). </w:t>
      </w:r>
    </w:p>
  </w:footnote>
  <w:footnote w:id="65">
    <w:p w14:paraId="355D07EC"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לכאורה נראה כי במחוז ירושלים יש אחוז גדול יחסית של מקרים "דמויי </w:t>
      </w:r>
      <w:proofErr w:type="spellStart"/>
      <w:r w:rsidRPr="005F3228">
        <w:rPr>
          <w:rFonts w:ascii="David" w:hAnsi="David" w:cs="David"/>
          <w:rtl/>
        </w:rPr>
        <w:t>א.ש.י.ר</w:t>
      </w:r>
      <w:proofErr w:type="spellEnd"/>
      <w:r w:rsidRPr="005F3228">
        <w:rPr>
          <w:rFonts w:ascii="David" w:hAnsi="David" w:cs="David"/>
          <w:rtl/>
        </w:rPr>
        <w:t>.", ואולם קשה לייחס לדבר משמעות שכן מדובר ב-3 מקרים בלבד מתוך 28 החלטות ופסקי דין שניתנו בתקופה הרלבנטית במחוז זה.</w:t>
      </w:r>
    </w:p>
  </w:footnote>
  <w:footnote w:id="66">
    <w:p w14:paraId="4D05A859" w14:textId="5B34BBB2" w:rsidR="00F06EA1" w:rsidRPr="005F3228" w:rsidRDefault="00F06EA1">
      <w:pPr>
        <w:pStyle w:val="FootnoteText"/>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ראו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Ref39091807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42</w:t>
      </w:r>
      <w:r w:rsidRPr="005F3228">
        <w:rPr>
          <w:rFonts w:ascii="David" w:hAnsi="David" w:cs="David"/>
          <w:rtl/>
        </w:rPr>
        <w:fldChar w:fldCharType="end"/>
      </w:r>
      <w:r w:rsidRPr="005F3228">
        <w:rPr>
          <w:rFonts w:ascii="David" w:hAnsi="David" w:cs="David"/>
          <w:rtl/>
        </w:rPr>
        <w:t xml:space="preserve"> והטקסט לידה. </w:t>
      </w:r>
    </w:p>
  </w:footnote>
  <w:footnote w:id="67">
    <w:p w14:paraId="6D184056"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ראו חלק ד' להלן.</w:t>
      </w:r>
    </w:p>
  </w:footnote>
  <w:footnote w:id="68">
    <w:p w14:paraId="5669138F" w14:textId="77777777" w:rsidR="00F06EA1" w:rsidRPr="005F3228" w:rsidRDefault="00F06EA1" w:rsidP="000D19A0">
      <w:pPr>
        <w:spacing w:after="0" w:line="240" w:lineRule="auto"/>
        <w:contextualSpacing/>
        <w:jc w:val="both"/>
        <w:rPr>
          <w:rFonts w:ascii="David" w:hAnsi="David" w:cs="David"/>
          <w:sz w:val="20"/>
          <w:szCs w:val="20"/>
        </w:rPr>
      </w:pPr>
      <w:r w:rsidRPr="005F3228">
        <w:rPr>
          <w:rStyle w:val="FootnoteReference"/>
          <w:rFonts w:ascii="David" w:hAnsi="David" w:cs="David"/>
          <w:sz w:val="20"/>
          <w:szCs w:val="20"/>
        </w:rPr>
        <w:footnoteRef/>
      </w:r>
      <w:r w:rsidRPr="005F3228">
        <w:rPr>
          <w:rFonts w:ascii="David" w:hAnsi="David" w:cs="David"/>
          <w:sz w:val="20"/>
          <w:szCs w:val="20"/>
          <w:rtl/>
        </w:rPr>
        <w:t xml:space="preserve"> זכות הפרסום הוכרה בפסיקה האמריקנית כעילה נפרדת ועצמאית מזכות הפרטיות בפרשת </w:t>
      </w:r>
      <w:proofErr w:type="spellStart"/>
      <w:r w:rsidRPr="005F3228">
        <w:rPr>
          <w:rFonts w:ascii="David" w:hAnsi="David" w:cs="David"/>
          <w:b/>
          <w:bCs/>
          <w:sz w:val="20"/>
          <w:szCs w:val="20"/>
        </w:rPr>
        <w:t>Haelan</w:t>
      </w:r>
      <w:proofErr w:type="spellEnd"/>
      <w:r w:rsidRPr="005F3228">
        <w:rPr>
          <w:rFonts w:ascii="David" w:hAnsi="David" w:cs="David"/>
          <w:b/>
          <w:bCs/>
          <w:sz w:val="20"/>
          <w:szCs w:val="20"/>
        </w:rPr>
        <w:t xml:space="preserve"> Laboratories Inc. v. Topps Chewing Gum Inc.</w:t>
      </w:r>
      <w:r w:rsidRPr="005F3228">
        <w:rPr>
          <w:rFonts w:ascii="David" w:hAnsi="David" w:cs="David"/>
          <w:sz w:val="20"/>
          <w:szCs w:val="20"/>
        </w:rPr>
        <w:t>, F.2d 866 (1953</w:t>
      </w:r>
      <w:r w:rsidRPr="005F3228">
        <w:rPr>
          <w:rFonts w:ascii="David" w:hAnsi="David" w:cs="David"/>
          <w:sz w:val="20"/>
          <w:szCs w:val="20"/>
          <w:rtl/>
        </w:rPr>
        <w:t>. כיום,  מדינות רבות בארצות</w:t>
      </w:r>
      <w:r w:rsidRPr="005F3228">
        <w:rPr>
          <w:rFonts w:ascii="David" w:hAnsi="David" w:cs="David"/>
          <w:position w:val="4"/>
          <w:sz w:val="20"/>
          <w:szCs w:val="20"/>
          <w:rtl/>
        </w:rPr>
        <w:t>-</w:t>
      </w:r>
      <w:r w:rsidRPr="005F3228">
        <w:rPr>
          <w:rFonts w:ascii="David" w:hAnsi="David" w:cs="David"/>
          <w:sz w:val="20"/>
          <w:szCs w:val="20"/>
          <w:rtl/>
        </w:rPr>
        <w:t>הברית מכירות בזכות הפרסום, חלקן מכוח חקיקה מפורשת וחלקן מכוח הפסיקה. ראו טלי שפרבר, "זכות הפרסום: הארות והערות לפרשת מקדונלד נ' מקדונלד'ס (</w:t>
      </w:r>
      <w:proofErr w:type="spellStart"/>
      <w:r w:rsidRPr="005F3228">
        <w:rPr>
          <w:rFonts w:ascii="David" w:hAnsi="David" w:cs="David"/>
          <w:sz w:val="20"/>
          <w:szCs w:val="20"/>
          <w:rtl/>
        </w:rPr>
        <w:t>אלוניאל</w:t>
      </w:r>
      <w:proofErr w:type="spellEnd"/>
      <w:r w:rsidRPr="005F3228">
        <w:rPr>
          <w:rFonts w:ascii="David" w:hAnsi="David" w:cs="David"/>
          <w:sz w:val="20"/>
          <w:szCs w:val="20"/>
          <w:rtl/>
        </w:rPr>
        <w:t xml:space="preserve">) בע"מ", </w:t>
      </w:r>
      <w:r w:rsidRPr="005F3228">
        <w:rPr>
          <w:rFonts w:ascii="David" w:hAnsi="David" w:cs="David"/>
          <w:b/>
          <w:bCs/>
          <w:sz w:val="20"/>
          <w:szCs w:val="20"/>
          <w:rtl/>
        </w:rPr>
        <w:t>משפטים</w:t>
      </w:r>
      <w:r w:rsidRPr="005F3228">
        <w:rPr>
          <w:rFonts w:ascii="David" w:hAnsi="David" w:cs="David"/>
          <w:sz w:val="20"/>
          <w:szCs w:val="20"/>
          <w:rtl/>
        </w:rPr>
        <w:t xml:space="preserve"> לג 693, 700 (</w:t>
      </w:r>
      <w:proofErr w:type="spellStart"/>
      <w:r w:rsidRPr="005F3228">
        <w:rPr>
          <w:rFonts w:ascii="David" w:hAnsi="David" w:cs="David"/>
          <w:sz w:val="20"/>
          <w:szCs w:val="20"/>
          <w:rtl/>
        </w:rPr>
        <w:t>התשס"ד</w:t>
      </w:r>
      <w:proofErr w:type="spellEnd"/>
      <w:r w:rsidRPr="005F3228">
        <w:rPr>
          <w:rFonts w:ascii="David" w:hAnsi="David" w:cs="David"/>
          <w:sz w:val="20"/>
          <w:szCs w:val="20"/>
          <w:rtl/>
        </w:rPr>
        <w:t xml:space="preserve">). למחקר יסודי מן העת האחרונה אודות הדין האמריקאי בסוגיה זו ראו:  </w:t>
      </w:r>
      <w:r w:rsidRPr="005F3228">
        <w:rPr>
          <w:rStyle w:val="intensereference"/>
          <w:rFonts w:ascii="David" w:hAnsi="David" w:cs="David"/>
          <w:smallCaps/>
          <w:spacing w:val="5"/>
          <w:sz w:val="20"/>
          <w:szCs w:val="20"/>
        </w:rPr>
        <w:t>Jennifer E. Rothman, The Right Of Publicity – Privacy Reimagined For A Public World (2018)</w:t>
      </w:r>
      <w:r w:rsidRPr="005F3228">
        <w:rPr>
          <w:rFonts w:ascii="David" w:hAnsi="David" w:cs="David"/>
          <w:sz w:val="20"/>
          <w:szCs w:val="20"/>
          <w:rtl/>
        </w:rPr>
        <w:t xml:space="preserve">. </w:t>
      </w:r>
    </w:p>
  </w:footnote>
  <w:footnote w:id="69">
    <w:p w14:paraId="18203995" w14:textId="6A92B0F5"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עניין </w:t>
      </w:r>
      <w:r w:rsidRPr="005F3228">
        <w:rPr>
          <w:rFonts w:ascii="David" w:hAnsi="David" w:cs="David"/>
          <w:b/>
          <w:bCs/>
          <w:rtl/>
        </w:rPr>
        <w:t>מקדונלד</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Ref27910906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11</w:t>
      </w:r>
      <w:r w:rsidRPr="005F3228">
        <w:rPr>
          <w:rFonts w:ascii="David" w:hAnsi="David" w:cs="David"/>
          <w:rtl/>
        </w:rPr>
        <w:fldChar w:fldCharType="end"/>
      </w:r>
      <w:r w:rsidRPr="005F3228">
        <w:rPr>
          <w:rFonts w:ascii="David" w:hAnsi="David" w:cs="David"/>
          <w:rtl/>
        </w:rPr>
        <w:t xml:space="preserve">. בקשה לדיון נוסף נדחתה: דנ"א 4813/04 </w:t>
      </w:r>
      <w:r w:rsidRPr="005F3228">
        <w:rPr>
          <w:rFonts w:ascii="David" w:hAnsi="David" w:cs="David"/>
          <w:b/>
          <w:bCs/>
          <w:rtl/>
        </w:rPr>
        <w:t xml:space="preserve">מקדונלד נ' </w:t>
      </w:r>
      <w:proofErr w:type="spellStart"/>
      <w:r w:rsidRPr="005F3228">
        <w:rPr>
          <w:rFonts w:ascii="David" w:hAnsi="David" w:cs="David"/>
          <w:b/>
          <w:bCs/>
          <w:rtl/>
        </w:rPr>
        <w:t>אלוניאל</w:t>
      </w:r>
      <w:proofErr w:type="spellEnd"/>
      <w:r w:rsidRPr="005F3228">
        <w:rPr>
          <w:rFonts w:ascii="David" w:hAnsi="David" w:cs="David"/>
          <w:rtl/>
        </w:rPr>
        <w:t xml:space="preserve"> (2004).  </w:t>
      </w:r>
    </w:p>
  </w:footnote>
  <w:footnote w:id="70">
    <w:p w14:paraId="274DBA6F"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ת"א (מחוזי ת"א) 2578/00 </w:t>
      </w:r>
      <w:r w:rsidRPr="005F3228">
        <w:rPr>
          <w:rFonts w:ascii="David" w:hAnsi="David" w:cs="David"/>
          <w:b/>
          <w:bCs/>
          <w:rtl/>
        </w:rPr>
        <w:t>מקדונלד נ' מקדונלד'ס (</w:t>
      </w:r>
      <w:proofErr w:type="spellStart"/>
      <w:r w:rsidRPr="005F3228">
        <w:rPr>
          <w:rFonts w:ascii="David" w:hAnsi="David" w:cs="David"/>
          <w:b/>
          <w:bCs/>
          <w:rtl/>
        </w:rPr>
        <w:t>אלוניאל</w:t>
      </w:r>
      <w:proofErr w:type="spellEnd"/>
      <w:r w:rsidRPr="005F3228">
        <w:rPr>
          <w:rFonts w:ascii="David" w:hAnsi="David" w:cs="David"/>
          <w:b/>
          <w:bCs/>
          <w:rtl/>
        </w:rPr>
        <w:t>) בע"מ</w:t>
      </w:r>
      <w:r w:rsidRPr="005F3228">
        <w:rPr>
          <w:rFonts w:ascii="David" w:hAnsi="David" w:cs="David"/>
          <w:rtl/>
        </w:rPr>
        <w:t xml:space="preserve"> (2002). סעיף 2(6) לחוק הגנת הפרטיות, התשמ"א-1981, מגדיר "</w:t>
      </w:r>
      <w:r w:rsidRPr="005F3228">
        <w:rPr>
          <w:rFonts w:ascii="David" w:hAnsi="David" w:cs="David"/>
          <w:color w:val="000000"/>
          <w:rtl/>
        </w:rPr>
        <w:t>שימוש בשם אדם, בכינויו, בתמונתו או בקולו, לשם ריווח</w:t>
      </w:r>
      <w:r w:rsidRPr="005F3228">
        <w:rPr>
          <w:rFonts w:ascii="David" w:hAnsi="David" w:cs="David"/>
          <w:rtl/>
        </w:rPr>
        <w:t xml:space="preserve">" כפגיעה בפרטיות. לפסיקה קודמת ברוח זו, ראו ת"א (שלום י-ם) </w:t>
      </w:r>
      <w:proofErr w:type="spellStart"/>
      <w:r w:rsidRPr="005F3228">
        <w:rPr>
          <w:rFonts w:ascii="David" w:hAnsi="David" w:cs="David"/>
          <w:b/>
          <w:bCs/>
          <w:rtl/>
        </w:rPr>
        <w:t>רופ</w:t>
      </w:r>
      <w:proofErr w:type="spellEnd"/>
      <w:r w:rsidRPr="005F3228">
        <w:rPr>
          <w:rFonts w:ascii="David" w:hAnsi="David" w:cs="David"/>
          <w:b/>
          <w:bCs/>
          <w:rtl/>
        </w:rPr>
        <w:t xml:space="preserve"> נ' און הנדה מיזוג אויר (1973) בע"מ</w:t>
      </w:r>
      <w:r w:rsidRPr="005F3228">
        <w:rPr>
          <w:rFonts w:ascii="David" w:hAnsi="David" w:cs="David"/>
          <w:rtl/>
        </w:rPr>
        <w:t xml:space="preserve"> (1995). </w:t>
      </w:r>
      <w:r w:rsidRPr="005F3228">
        <w:rPr>
          <w:rFonts w:ascii="David" w:hAnsi="David" w:cs="David"/>
          <w:color w:val="000000"/>
          <w:rtl/>
        </w:rPr>
        <w:t xml:space="preserve"> </w:t>
      </w:r>
    </w:p>
  </w:footnote>
  <w:footnote w:id="71">
    <w:p w14:paraId="6BF5FBBB" w14:textId="247084B0"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עניין</w:t>
      </w:r>
      <w:r w:rsidRPr="005F3228">
        <w:rPr>
          <w:rFonts w:ascii="David" w:hAnsi="David" w:cs="David"/>
          <w:b/>
          <w:bCs/>
          <w:rtl/>
        </w:rPr>
        <w:t xml:space="preserve"> מקדונלד</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Ref27910906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11</w:t>
      </w:r>
      <w:r w:rsidRPr="005F3228">
        <w:rPr>
          <w:rFonts w:ascii="David" w:hAnsi="David" w:cs="David"/>
          <w:rtl/>
        </w:rPr>
        <w:fldChar w:fldCharType="end"/>
      </w:r>
      <w:r w:rsidRPr="005F3228">
        <w:rPr>
          <w:rFonts w:ascii="David" w:hAnsi="David" w:cs="David"/>
          <w:rtl/>
        </w:rPr>
        <w:t xml:space="preserve">, בעמ' 346. </w:t>
      </w:r>
    </w:p>
  </w:footnote>
  <w:footnote w:id="72">
    <w:p w14:paraId="56C712BE" w14:textId="77777777" w:rsidR="00F06EA1" w:rsidRPr="005F3228" w:rsidRDefault="00F06EA1" w:rsidP="000D19A0">
      <w:pPr>
        <w:pStyle w:val="a"/>
        <w:spacing w:after="0" w:line="240" w:lineRule="auto"/>
        <w:ind w:firstLine="0"/>
        <w:rPr>
          <w:rFonts w:ascii="David" w:hAnsi="David" w:cs="David"/>
          <w:szCs w:val="20"/>
        </w:rPr>
      </w:pPr>
      <w:r w:rsidRPr="005F3228">
        <w:rPr>
          <w:rStyle w:val="FootnoteReference"/>
          <w:rFonts w:ascii="David" w:hAnsi="David" w:cs="David"/>
          <w:szCs w:val="20"/>
        </w:rPr>
        <w:footnoteRef/>
      </w:r>
      <w:r w:rsidRPr="005F3228">
        <w:rPr>
          <w:rFonts w:ascii="David" w:hAnsi="David" w:cs="David"/>
          <w:szCs w:val="20"/>
          <w:rtl/>
        </w:rPr>
        <w:t xml:space="preserve"> בהקשר למשמעות הכלכלית של הזכות, אמר בית המשפט העליון, בין היתר, את הדברים הבאים: "הצורך להכיר בזכות כלכלית שאינה אישית המגנה על יכולתו של הידוען לשלוט בשימוש המסחרי הנעשה בשמו, בדמותו או בקולו, הוא פועל יוצא של מציאות החיים הכלכלית והתקשורתית של העולם המודרני. כיום שירותיהם של ידוענים מתחומי הבידור, הספורט והפוליטיקה נשכרים כמעשה יום ביומו על</w:t>
      </w:r>
      <w:r w:rsidRPr="005F3228">
        <w:rPr>
          <w:rFonts w:ascii="David" w:hAnsi="David" w:cs="David"/>
          <w:position w:val="4"/>
          <w:szCs w:val="20"/>
          <w:rtl/>
        </w:rPr>
        <w:t>-</w:t>
      </w:r>
      <w:r w:rsidRPr="005F3228">
        <w:rPr>
          <w:rFonts w:ascii="David" w:hAnsi="David" w:cs="David"/>
          <w:szCs w:val="20"/>
          <w:rtl/>
        </w:rPr>
        <w:t xml:space="preserve">מנת שישמשו במסעות פרסום לשיווקם של מוצרים ושל שירותים. בתמורה להסכמה לדבר בשבחו של מוצר זה או אחר או להסכמה כי שמו יתנוסס על גבי המוצר, משתלמת לידוען תמורה. ערכה הכספי של זכות הפרסום הוא משמעותי. על התפתחות זו של חיי המסחר המודרני נצרך המשפט ליתן דעתו. הידוען אוחז בזכות כלכלית שאחרים מעוניינים לרכוש אותה או לשכור אותה ממנו. על זכות זו ראוי שהמשפט יגן בדרך של מניעת הפגיעה בה." </w:t>
      </w:r>
      <w:r w:rsidRPr="005F3228">
        <w:rPr>
          <w:rFonts w:ascii="David" w:hAnsi="David" w:cs="David"/>
          <w:b/>
          <w:bCs/>
          <w:szCs w:val="20"/>
          <w:rtl/>
        </w:rPr>
        <w:t>שם</w:t>
      </w:r>
      <w:r w:rsidRPr="005F3228">
        <w:rPr>
          <w:rFonts w:ascii="David" w:hAnsi="David" w:cs="David"/>
          <w:szCs w:val="20"/>
          <w:rtl/>
        </w:rPr>
        <w:t xml:space="preserve">, בעמ' 348-49. </w:t>
      </w:r>
    </w:p>
  </w:footnote>
  <w:footnote w:id="73">
    <w:p w14:paraId="2E26ECC0" w14:textId="7410C3F2"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עניין</w:t>
      </w:r>
      <w:r w:rsidRPr="005F3228">
        <w:rPr>
          <w:rFonts w:ascii="David" w:hAnsi="David" w:cs="David"/>
          <w:b/>
          <w:bCs/>
          <w:rtl/>
        </w:rPr>
        <w:t xml:space="preserve"> מקדונלד</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Ref27910906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11</w:t>
      </w:r>
      <w:r w:rsidRPr="005F3228">
        <w:rPr>
          <w:rFonts w:ascii="David" w:hAnsi="David" w:cs="David"/>
          <w:rtl/>
        </w:rPr>
        <w:fldChar w:fldCharType="end"/>
      </w:r>
      <w:r w:rsidRPr="005F3228">
        <w:rPr>
          <w:rFonts w:ascii="David" w:hAnsi="David" w:cs="David"/>
          <w:rtl/>
        </w:rPr>
        <w:t xml:space="preserve">, בעמוד 352 ("ההצדקות לקיומה של הזכות מתבססות על תאוריות שונות המסבירות את הצורך בהגנת הקניין הפרטי. שופטי הרוב בפרשת </w:t>
      </w:r>
      <w:proofErr w:type="spellStart"/>
      <w:r w:rsidRPr="005F3228">
        <w:rPr>
          <w:rFonts w:ascii="David" w:hAnsi="David" w:cs="David"/>
          <w:i/>
          <w:iCs/>
        </w:rPr>
        <w:t>Zacchini</w:t>
      </w:r>
      <w:proofErr w:type="spellEnd"/>
      <w:r w:rsidRPr="005F3228">
        <w:rPr>
          <w:rFonts w:ascii="David" w:hAnsi="David" w:cs="David"/>
          <w:i/>
          <w:iCs/>
        </w:rPr>
        <w:t xml:space="preserve"> </w:t>
      </w:r>
      <w:r w:rsidRPr="005F3228">
        <w:rPr>
          <w:rFonts w:ascii="David" w:hAnsi="David" w:cs="David"/>
          <w:rtl/>
        </w:rPr>
        <w:t xml:space="preserve"> סברו כי יש להגן על זכותו של הידוען בדמותו, בין השאר כיוון שהינה פרי עמלו שלו – התוצר של מאמציו להצטיין בתחום מקצועו. זוהי ההצדקה </w:t>
      </w:r>
      <w:proofErr w:type="spellStart"/>
      <w:r w:rsidRPr="005F3228">
        <w:rPr>
          <w:rFonts w:ascii="David" w:hAnsi="David" w:cs="David"/>
          <w:rtl/>
        </w:rPr>
        <w:t>הלוקיאנית</w:t>
      </w:r>
      <w:proofErr w:type="spellEnd"/>
      <w:r w:rsidRPr="005F3228">
        <w:rPr>
          <w:rFonts w:ascii="David" w:hAnsi="David" w:cs="David"/>
          <w:rtl/>
        </w:rPr>
        <w:t xml:space="preserve"> של תורת העבודה לקיומה של הזכות, והניח אותה אחד המלומדים האמריקנים המרכזיים בתחום דיני זכויות יוצרים"), ובעמוד 355 ("רבים מוצאים שיש בהגנה על הזכות לפרסום, כבהגנה הניתנת לשאר זכויות הקניין הרוחני, משום מתן תמריץ ליצירה וליוזמה אישית"). לדיון ביקורתי בהצדקות האלה, ראו מיכל שור-עופרי, "קניין רוחני ותאוריה של מורכבות", </w:t>
      </w:r>
      <w:r w:rsidRPr="005F3228">
        <w:rPr>
          <w:rFonts w:ascii="David" w:hAnsi="David" w:cs="David"/>
          <w:b/>
          <w:bCs/>
          <w:rtl/>
        </w:rPr>
        <w:t>קניין רוחני: עיונים בינתחומיים</w:t>
      </w:r>
      <w:r w:rsidRPr="005F3228">
        <w:rPr>
          <w:rFonts w:ascii="David" w:hAnsi="David" w:cs="David"/>
          <w:rtl/>
        </w:rPr>
        <w:t xml:space="preserve"> (מרים ביטון וליאור זמר עורכים, תשע"ו) 82-85.</w:t>
      </w:r>
    </w:p>
  </w:footnote>
  <w:footnote w:id="74">
    <w:p w14:paraId="2655408B" w14:textId="48F8AD9D" w:rsidR="00F06EA1" w:rsidRPr="005F3228" w:rsidRDefault="00F06EA1" w:rsidP="000D19A0">
      <w:pPr>
        <w:spacing w:after="0" w:line="240" w:lineRule="auto"/>
        <w:jc w:val="both"/>
        <w:rPr>
          <w:rFonts w:ascii="David" w:hAnsi="David" w:cs="David"/>
          <w:sz w:val="20"/>
          <w:szCs w:val="20"/>
        </w:rPr>
      </w:pPr>
      <w:r w:rsidRPr="005F3228">
        <w:rPr>
          <w:rStyle w:val="FootnoteReference"/>
          <w:rFonts w:ascii="David" w:hAnsi="David" w:cs="David"/>
          <w:sz w:val="20"/>
          <w:szCs w:val="20"/>
        </w:rPr>
        <w:footnoteRef/>
      </w:r>
      <w:r w:rsidRPr="005F3228">
        <w:rPr>
          <w:rFonts w:ascii="David" w:hAnsi="David" w:cs="David"/>
          <w:sz w:val="20"/>
          <w:szCs w:val="20"/>
          <w:rtl/>
        </w:rPr>
        <w:t xml:space="preserve"> על אף ההכרה העקרונית בזכות הפרסום, בית המשפט העליון דחה לבסוף את תביעתו של מקדונלד וקבע שהנסיבות הקונקרטיות של המקרה מצדיקות מתן פטור מחובת השבה, בהתאם להוראת סעיף 2 לחוק עשיית עושר, הקובע כי "</w:t>
      </w:r>
      <w:r w:rsidRPr="005F3228">
        <w:rPr>
          <w:rFonts w:ascii="David" w:hAnsi="David" w:cs="David"/>
          <w:color w:val="000000"/>
          <w:sz w:val="20"/>
          <w:szCs w:val="20"/>
          <w:shd w:val="clear" w:color="auto" w:fill="FFFFFF"/>
          <w:rtl/>
        </w:rPr>
        <w:t xml:space="preserve">בית המשפט רשאי לפטור את הזוכה מחובת ההשבה לפי סעיף 1, כולה או מקצתה, אם </w:t>
      </w:r>
      <w:r w:rsidRPr="005F3228">
        <w:rPr>
          <w:rFonts w:ascii="David" w:hAnsi="David" w:cs="David"/>
          <w:b/>
          <w:bCs/>
          <w:color w:val="000000"/>
          <w:sz w:val="20"/>
          <w:szCs w:val="20"/>
          <w:shd w:val="clear" w:color="auto" w:fill="FFFFFF"/>
          <w:rtl/>
        </w:rPr>
        <w:t xml:space="preserve">ראה </w:t>
      </w:r>
      <w:proofErr w:type="spellStart"/>
      <w:r w:rsidRPr="005F3228">
        <w:rPr>
          <w:rFonts w:ascii="David" w:hAnsi="David" w:cs="David"/>
          <w:b/>
          <w:bCs/>
          <w:color w:val="000000"/>
          <w:sz w:val="20"/>
          <w:szCs w:val="20"/>
          <w:shd w:val="clear" w:color="auto" w:fill="FFFFFF"/>
          <w:rtl/>
        </w:rPr>
        <w:t>שהזכיה</w:t>
      </w:r>
      <w:proofErr w:type="spellEnd"/>
      <w:r w:rsidRPr="005F3228">
        <w:rPr>
          <w:rFonts w:ascii="David" w:hAnsi="David" w:cs="David"/>
          <w:b/>
          <w:bCs/>
          <w:color w:val="000000"/>
          <w:sz w:val="20"/>
          <w:szCs w:val="20"/>
          <w:shd w:val="clear" w:color="auto" w:fill="FFFFFF"/>
          <w:rtl/>
        </w:rPr>
        <w:t xml:space="preserve"> לא </w:t>
      </w:r>
      <w:proofErr w:type="spellStart"/>
      <w:r w:rsidRPr="005F3228">
        <w:rPr>
          <w:rFonts w:ascii="David" w:hAnsi="David" w:cs="David"/>
          <w:b/>
          <w:bCs/>
          <w:color w:val="000000"/>
          <w:sz w:val="20"/>
          <w:szCs w:val="20"/>
          <w:shd w:val="clear" w:color="auto" w:fill="FFFFFF"/>
          <w:rtl/>
        </w:rPr>
        <w:t>היתה</w:t>
      </w:r>
      <w:proofErr w:type="spellEnd"/>
      <w:r w:rsidRPr="005F3228">
        <w:rPr>
          <w:rFonts w:ascii="David" w:hAnsi="David" w:cs="David"/>
          <w:b/>
          <w:bCs/>
          <w:color w:val="000000"/>
          <w:sz w:val="20"/>
          <w:szCs w:val="20"/>
          <w:shd w:val="clear" w:color="auto" w:fill="FFFFFF"/>
          <w:rtl/>
        </w:rPr>
        <w:t xml:space="preserve"> כרוכה בחסרון המזכה או שראה נסיבות אחרות העושות את ההשבה בלתי צודקת</w:t>
      </w:r>
      <w:r w:rsidRPr="005F3228">
        <w:rPr>
          <w:rFonts w:ascii="David" w:hAnsi="David" w:cs="David"/>
          <w:b/>
          <w:bCs/>
          <w:color w:val="000000"/>
          <w:sz w:val="20"/>
          <w:szCs w:val="20"/>
          <w:shd w:val="clear" w:color="auto" w:fill="FFFFFF"/>
        </w:rPr>
        <w:t>.</w:t>
      </w:r>
      <w:r w:rsidRPr="005F3228">
        <w:rPr>
          <w:rFonts w:ascii="David" w:hAnsi="David" w:cs="David"/>
          <w:sz w:val="20"/>
          <w:szCs w:val="20"/>
          <w:rtl/>
        </w:rPr>
        <w:t xml:space="preserve">" בנסיבות המקרה, המסקנה כי ראוי להקנות פטור מהשבה התבססה על כך שהשימוש בשמו של אריאל מקדונלד נעשה על-ידי מקדונלד'ס כתגובה לתשדיר פרסומת של ברגר קינג, </w:t>
      </w:r>
      <w:proofErr w:type="spellStart"/>
      <w:r w:rsidRPr="005F3228">
        <w:rPr>
          <w:rFonts w:ascii="David" w:hAnsi="David" w:cs="David"/>
          <w:sz w:val="20"/>
          <w:szCs w:val="20"/>
          <w:rtl/>
        </w:rPr>
        <w:t>שמקדולנד</w:t>
      </w:r>
      <w:proofErr w:type="spellEnd"/>
      <w:r w:rsidRPr="005F3228">
        <w:rPr>
          <w:rFonts w:ascii="David" w:hAnsi="David" w:cs="David"/>
          <w:sz w:val="20"/>
          <w:szCs w:val="20"/>
          <w:rtl/>
        </w:rPr>
        <w:t xml:space="preserve"> נטל בו חלק והתייחס בו למקדונלד'ס, בשילוב עם העובדה כי הדברים אותם ציטטה מקדונלד'ס מפיו של אריאל מקדונלד אכן נאמרו על ידיו ופורסמו לפני כן בראיון עיתונאי. </w:t>
      </w:r>
      <w:r w:rsidRPr="005F3228">
        <w:rPr>
          <w:rFonts w:ascii="David" w:hAnsi="David" w:cs="David"/>
          <w:sz w:val="20"/>
          <w:szCs w:val="20"/>
          <w:rtl/>
        </w:rPr>
        <w:t xml:space="preserve">עניין </w:t>
      </w:r>
      <w:r w:rsidRPr="005F3228">
        <w:rPr>
          <w:rFonts w:ascii="David" w:hAnsi="David" w:cs="David"/>
          <w:b/>
          <w:bCs/>
          <w:sz w:val="20"/>
          <w:szCs w:val="20"/>
          <w:rtl/>
        </w:rPr>
        <w:t>מקדונלד</w:t>
      </w:r>
      <w:r w:rsidRPr="005F3228">
        <w:rPr>
          <w:rFonts w:ascii="David" w:hAnsi="David" w:cs="David"/>
          <w:sz w:val="20"/>
          <w:szCs w:val="20"/>
          <w:rtl/>
        </w:rPr>
        <w:t xml:space="preserve">, </w:t>
      </w:r>
      <w:r w:rsidRPr="005F3228">
        <w:rPr>
          <w:rFonts w:ascii="David" w:hAnsi="David" w:cs="David"/>
          <w:b/>
          <w:bCs/>
          <w:sz w:val="20"/>
          <w:szCs w:val="20"/>
          <w:rtl/>
        </w:rPr>
        <w:t>לעיל</w:t>
      </w:r>
      <w:r w:rsidRPr="005F3228">
        <w:rPr>
          <w:rFonts w:ascii="David" w:hAnsi="David" w:cs="David"/>
          <w:sz w:val="20"/>
          <w:szCs w:val="20"/>
          <w:rtl/>
        </w:rPr>
        <w:t xml:space="preserve"> הערה </w:t>
      </w:r>
      <w:r w:rsidRPr="005F3228">
        <w:rPr>
          <w:rFonts w:ascii="David" w:hAnsi="David" w:cs="David"/>
          <w:sz w:val="20"/>
          <w:szCs w:val="20"/>
          <w:rtl/>
        </w:rPr>
        <w:fldChar w:fldCharType="begin"/>
      </w:r>
      <w:r w:rsidRPr="005F3228">
        <w:rPr>
          <w:rFonts w:ascii="David" w:hAnsi="David" w:cs="David"/>
          <w:sz w:val="20"/>
          <w:szCs w:val="20"/>
          <w:rtl/>
        </w:rPr>
        <w:instrText xml:space="preserve"> </w:instrText>
      </w:r>
      <w:r w:rsidRPr="005F3228">
        <w:rPr>
          <w:rFonts w:ascii="David" w:hAnsi="David" w:cs="David"/>
          <w:sz w:val="20"/>
          <w:szCs w:val="20"/>
        </w:rPr>
        <w:instrText>NOTEREF</w:instrText>
      </w:r>
      <w:r w:rsidRPr="005F3228">
        <w:rPr>
          <w:rFonts w:ascii="David" w:hAnsi="David" w:cs="David"/>
          <w:sz w:val="20"/>
          <w:szCs w:val="20"/>
          <w:rtl/>
        </w:rPr>
        <w:instrText xml:space="preserve"> _</w:instrText>
      </w:r>
      <w:r w:rsidRPr="005F3228">
        <w:rPr>
          <w:rFonts w:ascii="David" w:hAnsi="David" w:cs="David"/>
          <w:sz w:val="20"/>
          <w:szCs w:val="20"/>
        </w:rPr>
        <w:instrText>Ref27910906 \h</w:instrText>
      </w:r>
      <w:r w:rsidRPr="005F3228">
        <w:rPr>
          <w:rFonts w:ascii="David" w:hAnsi="David" w:cs="David"/>
          <w:sz w:val="20"/>
          <w:szCs w:val="20"/>
          <w:rtl/>
        </w:rPr>
        <w:instrText xml:space="preserve">  \* </w:instrText>
      </w:r>
      <w:r w:rsidRPr="005F3228">
        <w:rPr>
          <w:rFonts w:ascii="David" w:hAnsi="David" w:cs="David"/>
          <w:sz w:val="20"/>
          <w:szCs w:val="20"/>
        </w:rPr>
        <w:instrText>MERGEFORMAT</w:instrText>
      </w:r>
      <w:r w:rsidRPr="005F3228">
        <w:rPr>
          <w:rFonts w:ascii="David" w:hAnsi="David" w:cs="David"/>
          <w:sz w:val="20"/>
          <w:szCs w:val="20"/>
          <w:rtl/>
        </w:rPr>
        <w:instrText xml:space="preserve"> </w:instrText>
      </w:r>
      <w:r w:rsidRPr="005F3228">
        <w:rPr>
          <w:rFonts w:ascii="David" w:hAnsi="David" w:cs="David"/>
          <w:sz w:val="20"/>
          <w:szCs w:val="20"/>
          <w:rtl/>
        </w:rPr>
      </w:r>
      <w:r w:rsidRPr="005F3228">
        <w:rPr>
          <w:rFonts w:ascii="David" w:hAnsi="David" w:cs="David"/>
          <w:sz w:val="20"/>
          <w:szCs w:val="20"/>
          <w:rtl/>
        </w:rPr>
        <w:fldChar w:fldCharType="separate"/>
      </w:r>
      <w:r w:rsidRPr="005F3228">
        <w:rPr>
          <w:rFonts w:ascii="David" w:hAnsi="David" w:cs="David"/>
          <w:sz w:val="20"/>
          <w:szCs w:val="20"/>
          <w:rtl/>
        </w:rPr>
        <w:t>11</w:t>
      </w:r>
      <w:r w:rsidRPr="005F3228">
        <w:rPr>
          <w:rFonts w:ascii="David" w:hAnsi="David" w:cs="David"/>
          <w:sz w:val="20"/>
          <w:szCs w:val="20"/>
          <w:rtl/>
        </w:rPr>
        <w:fldChar w:fldCharType="end"/>
      </w:r>
      <w:r w:rsidRPr="005F3228">
        <w:rPr>
          <w:rFonts w:ascii="David" w:hAnsi="David" w:cs="David"/>
          <w:sz w:val="20"/>
          <w:szCs w:val="20"/>
          <w:rtl/>
        </w:rPr>
        <w:t>, בעמ' 362.</w:t>
      </w:r>
    </w:p>
  </w:footnote>
  <w:footnote w:id="75">
    <w:p w14:paraId="2F99D037" w14:textId="524DC72D" w:rsidR="00F06EA1" w:rsidRPr="005F3228" w:rsidRDefault="00F06EA1" w:rsidP="000D19A0">
      <w:pPr>
        <w:spacing w:after="0" w:line="240" w:lineRule="auto"/>
        <w:jc w:val="both"/>
        <w:rPr>
          <w:rFonts w:ascii="David" w:hAnsi="David" w:cs="David"/>
          <w:sz w:val="20"/>
          <w:szCs w:val="20"/>
        </w:rPr>
      </w:pPr>
      <w:r w:rsidRPr="005F3228">
        <w:rPr>
          <w:rStyle w:val="FootnoteReference"/>
          <w:rFonts w:ascii="David" w:hAnsi="David" w:cs="David"/>
          <w:sz w:val="20"/>
          <w:szCs w:val="20"/>
        </w:rPr>
        <w:footnoteRef/>
      </w:r>
      <w:r w:rsidRPr="005F3228">
        <w:rPr>
          <w:rFonts w:ascii="David" w:hAnsi="David" w:cs="David"/>
          <w:b/>
          <w:bCs/>
          <w:sz w:val="20"/>
          <w:szCs w:val="20"/>
          <w:rtl/>
        </w:rPr>
        <w:t xml:space="preserve"> </w:t>
      </w:r>
      <w:r w:rsidRPr="005F3228">
        <w:rPr>
          <w:rFonts w:ascii="David" w:hAnsi="David" w:cs="David"/>
          <w:sz w:val="20"/>
          <w:szCs w:val="20"/>
          <w:rtl/>
        </w:rPr>
        <w:t xml:space="preserve">עניין </w:t>
      </w:r>
      <w:r w:rsidRPr="005F3228">
        <w:rPr>
          <w:rFonts w:ascii="David" w:hAnsi="David" w:cs="David"/>
          <w:b/>
          <w:bCs/>
          <w:sz w:val="20"/>
          <w:szCs w:val="20"/>
          <w:rtl/>
        </w:rPr>
        <w:t>מקדונלד</w:t>
      </w:r>
      <w:r w:rsidRPr="005F3228">
        <w:rPr>
          <w:rFonts w:ascii="David" w:hAnsi="David" w:cs="David"/>
          <w:sz w:val="20"/>
          <w:szCs w:val="20"/>
          <w:rtl/>
        </w:rPr>
        <w:t xml:space="preserve">, </w:t>
      </w:r>
      <w:r w:rsidRPr="005F3228">
        <w:rPr>
          <w:rFonts w:ascii="David" w:hAnsi="David" w:cs="David"/>
          <w:b/>
          <w:bCs/>
          <w:sz w:val="20"/>
          <w:szCs w:val="20"/>
          <w:rtl/>
        </w:rPr>
        <w:t>לעיל</w:t>
      </w:r>
      <w:r w:rsidRPr="005F3228">
        <w:rPr>
          <w:rFonts w:ascii="David" w:hAnsi="David" w:cs="David"/>
          <w:sz w:val="20"/>
          <w:szCs w:val="20"/>
          <w:rtl/>
        </w:rPr>
        <w:t xml:space="preserve"> הערה </w:t>
      </w:r>
      <w:r w:rsidRPr="005F3228">
        <w:rPr>
          <w:rFonts w:ascii="David" w:hAnsi="David" w:cs="David"/>
          <w:sz w:val="20"/>
          <w:szCs w:val="20"/>
          <w:rtl/>
        </w:rPr>
        <w:fldChar w:fldCharType="begin"/>
      </w:r>
      <w:r w:rsidRPr="005F3228">
        <w:rPr>
          <w:rFonts w:ascii="David" w:hAnsi="David" w:cs="David"/>
          <w:sz w:val="20"/>
          <w:szCs w:val="20"/>
          <w:rtl/>
        </w:rPr>
        <w:instrText xml:space="preserve"> </w:instrText>
      </w:r>
      <w:r w:rsidRPr="005F3228">
        <w:rPr>
          <w:rFonts w:ascii="David" w:hAnsi="David" w:cs="David"/>
          <w:sz w:val="20"/>
          <w:szCs w:val="20"/>
        </w:rPr>
        <w:instrText>NOTEREF</w:instrText>
      </w:r>
      <w:r w:rsidRPr="005F3228">
        <w:rPr>
          <w:rFonts w:ascii="David" w:hAnsi="David" w:cs="David"/>
          <w:sz w:val="20"/>
          <w:szCs w:val="20"/>
          <w:rtl/>
        </w:rPr>
        <w:instrText xml:space="preserve"> _</w:instrText>
      </w:r>
      <w:r w:rsidRPr="005F3228">
        <w:rPr>
          <w:rFonts w:ascii="David" w:hAnsi="David" w:cs="David"/>
          <w:sz w:val="20"/>
          <w:szCs w:val="20"/>
        </w:rPr>
        <w:instrText>Ref27910906 \h</w:instrText>
      </w:r>
      <w:r w:rsidRPr="005F3228">
        <w:rPr>
          <w:rFonts w:ascii="David" w:hAnsi="David" w:cs="David"/>
          <w:sz w:val="20"/>
          <w:szCs w:val="20"/>
          <w:rtl/>
        </w:rPr>
        <w:instrText xml:space="preserve">  \* </w:instrText>
      </w:r>
      <w:r w:rsidRPr="005F3228">
        <w:rPr>
          <w:rFonts w:ascii="David" w:hAnsi="David" w:cs="David"/>
          <w:sz w:val="20"/>
          <w:szCs w:val="20"/>
        </w:rPr>
        <w:instrText>MERGEFORMAT</w:instrText>
      </w:r>
      <w:r w:rsidRPr="005F3228">
        <w:rPr>
          <w:rFonts w:ascii="David" w:hAnsi="David" w:cs="David"/>
          <w:sz w:val="20"/>
          <w:szCs w:val="20"/>
          <w:rtl/>
        </w:rPr>
        <w:instrText xml:space="preserve"> </w:instrText>
      </w:r>
      <w:r w:rsidRPr="005F3228">
        <w:rPr>
          <w:rFonts w:ascii="David" w:hAnsi="David" w:cs="David"/>
          <w:sz w:val="20"/>
          <w:szCs w:val="20"/>
          <w:rtl/>
        </w:rPr>
      </w:r>
      <w:r w:rsidRPr="005F3228">
        <w:rPr>
          <w:rFonts w:ascii="David" w:hAnsi="David" w:cs="David"/>
          <w:sz w:val="20"/>
          <w:szCs w:val="20"/>
          <w:rtl/>
        </w:rPr>
        <w:fldChar w:fldCharType="separate"/>
      </w:r>
      <w:r w:rsidRPr="005F3228">
        <w:rPr>
          <w:rFonts w:ascii="David" w:hAnsi="David" w:cs="David"/>
          <w:sz w:val="20"/>
          <w:szCs w:val="20"/>
          <w:rtl/>
        </w:rPr>
        <w:t>11</w:t>
      </w:r>
      <w:r w:rsidRPr="005F3228">
        <w:rPr>
          <w:rFonts w:ascii="David" w:hAnsi="David" w:cs="David"/>
          <w:sz w:val="20"/>
          <w:szCs w:val="20"/>
          <w:rtl/>
        </w:rPr>
        <w:fldChar w:fldCharType="end"/>
      </w:r>
      <w:r w:rsidRPr="005F3228">
        <w:rPr>
          <w:rFonts w:ascii="David" w:hAnsi="David" w:cs="David"/>
          <w:sz w:val="20"/>
          <w:szCs w:val="20"/>
          <w:rtl/>
        </w:rPr>
        <w:t xml:space="preserve">, בעמ' 364. </w:t>
      </w:r>
    </w:p>
  </w:footnote>
  <w:footnote w:id="76">
    <w:p w14:paraId="3AD59EE7"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ראו למשל ע"א 8393.96 </w:t>
      </w:r>
      <w:r w:rsidRPr="005F3228">
        <w:rPr>
          <w:rFonts w:ascii="David" w:hAnsi="David" w:cs="David"/>
          <w:b/>
          <w:bCs/>
          <w:rtl/>
        </w:rPr>
        <w:t xml:space="preserve">מפעל הפיס נ. </w:t>
      </w:r>
      <w:r w:rsidRPr="005F3228">
        <w:rPr>
          <w:rFonts w:ascii="David" w:hAnsi="David" w:cs="David"/>
          <w:b/>
          <w:bCs/>
        </w:rPr>
        <w:t>The Roy Export Establishment Co.</w:t>
      </w:r>
      <w:r w:rsidRPr="005F3228">
        <w:rPr>
          <w:rFonts w:ascii="David" w:hAnsi="David" w:cs="David"/>
          <w:rtl/>
        </w:rPr>
        <w:t xml:space="preserve"> (1998), פסקאות 16-18.</w:t>
      </w:r>
    </w:p>
  </w:footnote>
  <w:footnote w:id="77">
    <w:p w14:paraId="303DE45A"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ראו סעיף 11(11) לפקודת סימני המסחר [נוסח חדש], התשל"ב-1972, הקובע כי אין לרשום סימן מסחר שמשמעותו הרגילה שם משפחה, אם אינו מוצג בדרך מיוחדת, זולת אם הוא בעל אופי מבחין.   </w:t>
      </w:r>
    </w:p>
  </w:footnote>
  <w:footnote w:id="78">
    <w:p w14:paraId="516E21C4"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נציין, כי קריאה אלטרנטיבית, הנצמדת לעמדתו של בית המשפט העליון, אינה משנה מהותית את תוצאות המחקר האמפירי, אלא רק מקטינה את מספר המקרים "דמויי </w:t>
      </w:r>
      <w:proofErr w:type="spellStart"/>
      <w:r w:rsidRPr="005F3228">
        <w:rPr>
          <w:rFonts w:ascii="David" w:hAnsi="David" w:cs="David"/>
          <w:rtl/>
        </w:rPr>
        <w:t>א.ש.י.ר</w:t>
      </w:r>
      <w:proofErr w:type="spellEnd"/>
      <w:r w:rsidRPr="005F3228">
        <w:rPr>
          <w:rFonts w:ascii="David" w:hAnsi="David" w:cs="David"/>
          <w:rtl/>
        </w:rPr>
        <w:t>" הנכללים בו.</w:t>
      </w:r>
    </w:p>
  </w:footnote>
  <w:footnote w:id="79">
    <w:p w14:paraId="09124A94" w14:textId="2A419ABA" w:rsidR="00F06EA1" w:rsidRPr="005F3228" w:rsidRDefault="00F06EA1" w:rsidP="000D19A0">
      <w:pPr>
        <w:spacing w:after="0" w:line="240" w:lineRule="auto"/>
        <w:contextualSpacing/>
        <w:jc w:val="both"/>
        <w:rPr>
          <w:rFonts w:ascii="David" w:hAnsi="David" w:cs="David"/>
          <w:sz w:val="20"/>
          <w:szCs w:val="20"/>
        </w:rPr>
      </w:pPr>
      <w:r w:rsidRPr="005F3228">
        <w:rPr>
          <w:rStyle w:val="FootnoteReference"/>
          <w:rFonts w:ascii="David" w:hAnsi="David" w:cs="David"/>
          <w:sz w:val="20"/>
          <w:szCs w:val="20"/>
        </w:rPr>
        <w:footnoteRef/>
      </w:r>
      <w:r w:rsidRPr="005F3228">
        <w:rPr>
          <w:rFonts w:ascii="David" w:hAnsi="David" w:cs="David"/>
          <w:sz w:val="20"/>
          <w:szCs w:val="20"/>
          <w:rtl/>
        </w:rPr>
        <w:t xml:space="preserve"> ראו, למשל,</w:t>
      </w:r>
      <w:r w:rsidRPr="005F3228">
        <w:rPr>
          <w:rFonts w:ascii="David" w:hAnsi="David" w:cs="David" w:hint="cs"/>
          <w:sz w:val="20"/>
          <w:szCs w:val="20"/>
          <w:rtl/>
        </w:rPr>
        <w:t xml:space="preserve"> ת"א (מחוזי י-ם) 6157/04</w:t>
      </w:r>
      <w:r w:rsidRPr="005F3228">
        <w:rPr>
          <w:rFonts w:ascii="David" w:hAnsi="David" w:cs="David"/>
          <w:sz w:val="20"/>
          <w:szCs w:val="20"/>
          <w:rtl/>
        </w:rPr>
        <w:t xml:space="preserve"> </w:t>
      </w:r>
      <w:r w:rsidRPr="005F3228">
        <w:rPr>
          <w:rFonts w:ascii="David" w:hAnsi="David" w:cs="David"/>
          <w:b/>
          <w:bCs/>
          <w:sz w:val="20"/>
          <w:szCs w:val="20"/>
          <w:rtl/>
        </w:rPr>
        <w:t xml:space="preserve">דוד ("הכי טוב") דבש נ' אדלר חומסקי </w:t>
      </w:r>
      <w:proofErr w:type="spellStart"/>
      <w:r w:rsidRPr="005F3228">
        <w:rPr>
          <w:rFonts w:ascii="David" w:hAnsi="David" w:cs="David"/>
          <w:b/>
          <w:bCs/>
          <w:sz w:val="20"/>
          <w:szCs w:val="20"/>
          <w:rtl/>
        </w:rPr>
        <w:t>ורשבסקי</w:t>
      </w:r>
      <w:proofErr w:type="spellEnd"/>
      <w:r w:rsidRPr="005F3228">
        <w:rPr>
          <w:rFonts w:ascii="David" w:hAnsi="David" w:cs="David"/>
          <w:sz w:val="20"/>
          <w:szCs w:val="20"/>
          <w:rtl/>
        </w:rPr>
        <w:t xml:space="preserve"> (2006) (שם נדונה תחולת הזכות לפרסום בהקשר של אנשים שאינם </w:t>
      </w:r>
      <w:r w:rsidRPr="005F3228">
        <w:rPr>
          <w:rFonts w:ascii="David" w:hAnsi="David" w:cs="David"/>
          <w:color w:val="000000"/>
          <w:sz w:val="20"/>
          <w:szCs w:val="20"/>
          <w:rtl/>
        </w:rPr>
        <w:t>ידוענים); ת"א (מחוזי חי') 534-08‏</w:t>
      </w:r>
      <w:r w:rsidRPr="005F3228">
        <w:rPr>
          <w:rFonts w:ascii="David" w:hAnsi="David" w:cs="David"/>
          <w:b/>
          <w:bCs/>
          <w:color w:val="000000"/>
          <w:sz w:val="20"/>
          <w:szCs w:val="20"/>
          <w:rtl/>
        </w:rPr>
        <w:t xml:space="preserve"> ‏חוה קורן ישראלי נ' שי כהן </w:t>
      </w:r>
      <w:r w:rsidRPr="005F3228">
        <w:rPr>
          <w:rFonts w:ascii="David" w:hAnsi="David" w:cs="David"/>
          <w:color w:val="000000"/>
          <w:sz w:val="20"/>
          <w:szCs w:val="20"/>
          <w:rtl/>
        </w:rPr>
        <w:t>(2010) (קביעה כי שימוש בקולה של התובעת ללא הסכמתה באתר אינטרנט המופעל על ידי הנתבע פוגע בזכות הפרסום של התובעת);</w:t>
      </w:r>
      <w:r w:rsidRPr="005F3228">
        <w:rPr>
          <w:rFonts w:ascii="David" w:hAnsi="David" w:cs="David" w:hint="cs"/>
          <w:color w:val="000000"/>
          <w:sz w:val="20"/>
          <w:szCs w:val="20"/>
          <w:rtl/>
        </w:rPr>
        <w:t xml:space="preserve"> ת"א (מחוזי ת"א) 1235/09</w:t>
      </w:r>
      <w:r w:rsidRPr="005F3228">
        <w:rPr>
          <w:rFonts w:ascii="David" w:hAnsi="David" w:cs="David"/>
          <w:color w:val="000000"/>
          <w:sz w:val="20"/>
          <w:szCs w:val="20"/>
          <w:rtl/>
        </w:rPr>
        <w:t xml:space="preserve"> </w:t>
      </w:r>
      <w:r w:rsidRPr="005F3228">
        <w:rPr>
          <w:rFonts w:ascii="David" w:hAnsi="David" w:cs="David"/>
          <w:b/>
          <w:bCs/>
          <w:sz w:val="20"/>
          <w:szCs w:val="20"/>
          <w:rtl/>
        </w:rPr>
        <w:t>רפאלי נ' סאני תקשורת (1994) בע"מ</w:t>
      </w:r>
      <w:r w:rsidRPr="005F3228">
        <w:rPr>
          <w:rFonts w:ascii="David" w:hAnsi="David" w:cs="David"/>
          <w:sz w:val="20"/>
          <w:szCs w:val="20"/>
          <w:rtl/>
        </w:rPr>
        <w:t xml:space="preserve"> (2013) (להלן: "עניין </w:t>
      </w:r>
      <w:r w:rsidRPr="005F3228">
        <w:rPr>
          <w:rFonts w:ascii="David" w:hAnsi="David" w:cs="David"/>
          <w:b/>
          <w:bCs/>
          <w:sz w:val="20"/>
          <w:szCs w:val="20"/>
          <w:rtl/>
        </w:rPr>
        <w:t>רפאלי</w:t>
      </w:r>
      <w:r w:rsidRPr="005F3228">
        <w:rPr>
          <w:rFonts w:ascii="David" w:hAnsi="David" w:cs="David"/>
          <w:sz w:val="20"/>
          <w:szCs w:val="20"/>
          <w:rtl/>
        </w:rPr>
        <w:t>") (שם נקבע כי גם חריגה מהסכמות קיימות בדבר היקף השימוש המותר בשמו או דמותו של ידוען עלולה להוות פגיעה המצדיקה פיצוי כספי</w:t>
      </w:r>
      <w:r w:rsidRPr="005F3228">
        <w:rPr>
          <w:rFonts w:ascii="David" w:hAnsi="David" w:cs="David"/>
          <w:color w:val="000000"/>
          <w:sz w:val="20"/>
          <w:szCs w:val="20"/>
          <w:rtl/>
        </w:rPr>
        <w:t xml:space="preserve">); </w:t>
      </w:r>
      <w:r w:rsidRPr="005F3228">
        <w:rPr>
          <w:rFonts w:ascii="David" w:hAnsi="David" w:cs="David"/>
          <w:sz w:val="20"/>
          <w:szCs w:val="20"/>
          <w:rtl/>
        </w:rPr>
        <w:t xml:space="preserve">ת"א 11740-03-13 (מחוזי מרכז) </w:t>
      </w:r>
      <w:proofErr w:type="spellStart"/>
      <w:r w:rsidRPr="005F3228">
        <w:rPr>
          <w:rFonts w:ascii="David" w:hAnsi="David" w:cs="David"/>
          <w:b/>
          <w:bCs/>
          <w:sz w:val="20"/>
          <w:szCs w:val="20"/>
        </w:rPr>
        <w:t>Fundacio</w:t>
      </w:r>
      <w:proofErr w:type="spellEnd"/>
      <w:r w:rsidRPr="005F3228">
        <w:rPr>
          <w:rFonts w:ascii="David" w:hAnsi="David" w:cs="David"/>
          <w:b/>
          <w:bCs/>
          <w:sz w:val="20"/>
          <w:szCs w:val="20"/>
        </w:rPr>
        <w:t xml:space="preserve"> Gala – Salvador Dali</w:t>
      </w:r>
      <w:r w:rsidRPr="005F3228">
        <w:rPr>
          <w:rFonts w:ascii="David" w:hAnsi="David" w:cs="David"/>
          <w:b/>
          <w:bCs/>
          <w:sz w:val="20"/>
          <w:szCs w:val="20"/>
          <w:rtl/>
        </w:rPr>
        <w:t xml:space="preserve"> ואח' נ' </w:t>
      </w:r>
      <w:proofErr w:type="spellStart"/>
      <w:r w:rsidRPr="005F3228">
        <w:rPr>
          <w:rFonts w:ascii="David" w:hAnsi="David" w:cs="David"/>
          <w:b/>
          <w:bCs/>
          <w:sz w:val="20"/>
          <w:szCs w:val="20"/>
          <w:rtl/>
        </w:rPr>
        <w:t>וי.אס.מרקטינג</w:t>
      </w:r>
      <w:proofErr w:type="spellEnd"/>
      <w:r w:rsidRPr="005F3228">
        <w:rPr>
          <w:rFonts w:ascii="David" w:hAnsi="David" w:cs="David"/>
          <w:b/>
          <w:bCs/>
          <w:sz w:val="20"/>
          <w:szCs w:val="20"/>
          <w:rtl/>
        </w:rPr>
        <w:t xml:space="preserve"> (ישראל 2005) בע"מ ואח'</w:t>
      </w:r>
      <w:r w:rsidRPr="005F3228">
        <w:rPr>
          <w:rFonts w:ascii="David" w:hAnsi="David" w:cs="David"/>
          <w:sz w:val="20"/>
          <w:szCs w:val="20"/>
          <w:rtl/>
        </w:rPr>
        <w:t xml:space="preserve"> (2016) (להלן: "עניין </w:t>
      </w:r>
      <w:r w:rsidRPr="005F3228">
        <w:rPr>
          <w:rFonts w:ascii="David" w:hAnsi="David" w:cs="David"/>
          <w:b/>
          <w:bCs/>
          <w:sz w:val="20"/>
          <w:szCs w:val="20"/>
          <w:rtl/>
        </w:rPr>
        <w:t>דאלי</w:t>
      </w:r>
      <w:r w:rsidRPr="005F3228">
        <w:rPr>
          <w:rFonts w:ascii="David" w:hAnsi="David" w:cs="David"/>
          <w:sz w:val="20"/>
          <w:szCs w:val="20"/>
          <w:rtl/>
        </w:rPr>
        <w:t xml:space="preserve">") (שם נקבע, בין היתר, כי שימוש מסחרי בשמו של ידוען לאחר פטירתו הוא בר הגנה). ראו גם בש"א (מחוזי ת"א) 2160/09 </w:t>
      </w:r>
      <w:r w:rsidRPr="005F3228">
        <w:rPr>
          <w:rFonts w:ascii="David" w:hAnsi="David" w:cs="David"/>
          <w:b/>
          <w:bCs/>
          <w:sz w:val="20"/>
          <w:szCs w:val="20"/>
          <w:rtl/>
        </w:rPr>
        <w:t>שידורי קשת בע"מ נ' אילן בירן</w:t>
      </w:r>
      <w:r w:rsidRPr="005F3228">
        <w:rPr>
          <w:rFonts w:ascii="David" w:hAnsi="David" w:cs="David"/>
          <w:sz w:val="20"/>
          <w:szCs w:val="20"/>
          <w:rtl/>
        </w:rPr>
        <w:t xml:space="preserve"> (2010) (שם נדחתה הטענה לפגיעה בזכות הפרסום, בנסיבות בהן נעשה שימוש בדמות במסגרת כתבה עיתונאית). </w:t>
      </w:r>
    </w:p>
  </w:footnote>
  <w:footnote w:id="80">
    <w:p w14:paraId="1DC3B23C" w14:textId="648A7553" w:rsidR="00F06EA1" w:rsidRPr="005F3228" w:rsidRDefault="00F06EA1" w:rsidP="005918EF">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ראו עניין </w:t>
      </w:r>
      <w:r w:rsidRPr="005F3228">
        <w:rPr>
          <w:rFonts w:ascii="David" w:hAnsi="David" w:cs="David"/>
          <w:b/>
          <w:bCs/>
          <w:rtl/>
        </w:rPr>
        <w:t>רפאלי</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Ref28465268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77</w:t>
      </w:r>
      <w:r w:rsidRPr="005F3228">
        <w:rPr>
          <w:rFonts w:ascii="David" w:hAnsi="David" w:cs="David"/>
          <w:rtl/>
        </w:rPr>
        <w:fldChar w:fldCharType="end"/>
      </w:r>
      <w:r w:rsidRPr="005F3228">
        <w:rPr>
          <w:rFonts w:ascii="David" w:hAnsi="David" w:cs="David"/>
          <w:rtl/>
        </w:rPr>
        <w:t xml:space="preserve">; עניין </w:t>
      </w:r>
      <w:r w:rsidRPr="005F3228">
        <w:rPr>
          <w:rFonts w:ascii="David" w:hAnsi="David" w:cs="David"/>
          <w:b/>
          <w:bCs/>
          <w:rtl/>
        </w:rPr>
        <w:t>דאלי</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Ref28465268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77</w:t>
      </w:r>
      <w:r w:rsidRPr="005F3228">
        <w:rPr>
          <w:rFonts w:ascii="David" w:hAnsi="David" w:cs="David"/>
          <w:rtl/>
        </w:rPr>
        <w:fldChar w:fldCharType="end"/>
      </w:r>
      <w:r w:rsidRPr="005F3228">
        <w:rPr>
          <w:rFonts w:ascii="David" w:hAnsi="David" w:cs="David"/>
          <w:rtl/>
        </w:rPr>
        <w:t>. הרושם העולה מכך הוא "שהזכות לפרסום" זוכה לקיום עצמאי במשפט הישראלי. למרות זאת כללנו מקרים אלה במסגרת המחקר, שכן כמובהר לעיל, ה</w:t>
      </w:r>
      <w:r w:rsidRPr="005F3228">
        <w:rPr>
          <w:rFonts w:ascii="David" w:hAnsi="David" w:cs="David" w:hint="cs"/>
          <w:rtl/>
        </w:rPr>
        <w:t>ם</w:t>
      </w:r>
      <w:r w:rsidRPr="005F3228">
        <w:rPr>
          <w:rFonts w:ascii="David" w:hAnsi="David" w:cs="David"/>
          <w:rtl/>
        </w:rPr>
        <w:t xml:space="preserve"> מעורר</w:t>
      </w:r>
      <w:r w:rsidRPr="005F3228">
        <w:rPr>
          <w:rFonts w:ascii="David" w:hAnsi="David" w:cs="David" w:hint="cs"/>
          <w:rtl/>
        </w:rPr>
        <w:t>ים</w:t>
      </w:r>
      <w:r w:rsidRPr="005F3228">
        <w:rPr>
          <w:rFonts w:ascii="David" w:hAnsi="David" w:cs="David"/>
          <w:rtl/>
        </w:rPr>
        <w:t xml:space="preserve"> את שאלת היחס שבין דיני הקניין הרוחני לדיני עשיית העושר.</w:t>
      </w:r>
    </w:p>
  </w:footnote>
  <w:footnote w:id="81">
    <w:p w14:paraId="7799708D"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להכרה בשידור חי של אירוע ספורט כיצירה דרמטית, ראו ע"א 2173/94 </w:t>
      </w:r>
      <w:r w:rsidRPr="005F3228">
        <w:rPr>
          <w:rFonts w:ascii="David" w:hAnsi="David" w:cs="David"/>
          <w:b/>
          <w:bCs/>
        </w:rPr>
        <w:t>Tele Event Ltd.</w:t>
      </w:r>
      <w:r w:rsidRPr="005F3228">
        <w:rPr>
          <w:rFonts w:ascii="David" w:hAnsi="David" w:cs="David"/>
          <w:rtl/>
        </w:rPr>
        <w:t xml:space="preserve"> </w:t>
      </w:r>
      <w:r w:rsidRPr="005F3228">
        <w:rPr>
          <w:rFonts w:ascii="David" w:hAnsi="David" w:cs="David"/>
          <w:b/>
          <w:bCs/>
          <w:rtl/>
        </w:rPr>
        <w:t xml:space="preserve">נ' ערוצי זהב, </w:t>
      </w:r>
      <w:r w:rsidRPr="005F3228">
        <w:rPr>
          <w:rFonts w:ascii="David" w:hAnsi="David" w:cs="David"/>
          <w:rtl/>
        </w:rPr>
        <w:t xml:space="preserve">פ"ד </w:t>
      </w:r>
      <w:proofErr w:type="spellStart"/>
      <w:r w:rsidRPr="005F3228">
        <w:rPr>
          <w:rFonts w:ascii="David" w:hAnsi="David" w:cs="David"/>
          <w:rtl/>
        </w:rPr>
        <w:t>נה</w:t>
      </w:r>
      <w:proofErr w:type="spellEnd"/>
      <w:r w:rsidRPr="005F3228">
        <w:rPr>
          <w:rFonts w:ascii="David" w:hAnsi="David" w:cs="David"/>
          <w:rtl/>
        </w:rPr>
        <w:t xml:space="preserve">(5) 529 (2001) (להלן: "עניין </w:t>
      </w:r>
      <w:r w:rsidRPr="005F3228">
        <w:rPr>
          <w:rFonts w:ascii="David" w:hAnsi="David" w:cs="David"/>
          <w:b/>
          <w:bCs/>
        </w:rPr>
        <w:t>Tele Event</w:t>
      </w:r>
      <w:r w:rsidRPr="005F3228">
        <w:rPr>
          <w:rFonts w:ascii="David" w:hAnsi="David" w:cs="David"/>
          <w:rtl/>
        </w:rPr>
        <w:t xml:space="preserve">"); גיא פסח, "זכויות שידור – גלגוליה של סבוניית [פסק הדין בעניין] </w:t>
      </w:r>
      <w:proofErr w:type="spellStart"/>
      <w:r w:rsidRPr="005F3228">
        <w:rPr>
          <w:rFonts w:ascii="David" w:hAnsi="David" w:cs="David"/>
          <w:rtl/>
        </w:rPr>
        <w:t>א.ש.י.ר</w:t>
      </w:r>
      <w:proofErr w:type="spellEnd"/>
      <w:r w:rsidRPr="005F3228">
        <w:rPr>
          <w:rFonts w:ascii="David" w:hAnsi="David" w:cs="David"/>
          <w:rtl/>
        </w:rPr>
        <w:t xml:space="preserve"> וחלקה כגורם מעצב בשוק התקשורת", </w:t>
      </w:r>
      <w:r w:rsidRPr="005F3228">
        <w:rPr>
          <w:rFonts w:ascii="David" w:hAnsi="David" w:cs="David"/>
          <w:b/>
          <w:bCs/>
          <w:rtl/>
        </w:rPr>
        <w:t>המשפט</w:t>
      </w:r>
      <w:r w:rsidRPr="005F3228">
        <w:rPr>
          <w:rFonts w:ascii="David" w:hAnsi="David" w:cs="David"/>
          <w:rtl/>
        </w:rPr>
        <w:t xml:space="preserve"> י 131, 133 (</w:t>
      </w:r>
      <w:proofErr w:type="spellStart"/>
      <w:r w:rsidRPr="005F3228">
        <w:rPr>
          <w:rFonts w:ascii="David" w:hAnsi="David" w:cs="David"/>
          <w:rtl/>
        </w:rPr>
        <w:t>התשס"ה</w:t>
      </w:r>
      <w:proofErr w:type="spellEnd"/>
      <w:r w:rsidRPr="005F3228">
        <w:rPr>
          <w:rFonts w:ascii="David" w:hAnsi="David" w:cs="David"/>
          <w:rtl/>
        </w:rPr>
        <w:t xml:space="preserve">). "זכות השידור" אף שונה מ"זכות המשדרים" הקבועה בחוק זכויות מבצעים ומשדרים, תשמ"ד-1984, שהיא זכותו של הגורם המשדר באות (סיגנל) השידור שאותו הוא מעביר לציבור. </w:t>
      </w:r>
    </w:p>
  </w:footnote>
  <w:footnote w:id="82">
    <w:p w14:paraId="547FB95F" w14:textId="2B0404C8"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עניין </w:t>
      </w:r>
      <w:r w:rsidRPr="005F3228">
        <w:rPr>
          <w:rFonts w:ascii="David" w:hAnsi="David" w:cs="David"/>
          <w:b/>
          <w:bCs/>
        </w:rPr>
        <w:t>Tele Event</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Ref28286155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79</w:t>
      </w:r>
      <w:r w:rsidRPr="005F3228">
        <w:rPr>
          <w:rFonts w:ascii="David" w:hAnsi="David" w:cs="David"/>
          <w:rtl/>
        </w:rPr>
        <w:fldChar w:fldCharType="end"/>
      </w:r>
      <w:r w:rsidRPr="005F3228">
        <w:rPr>
          <w:rFonts w:ascii="David" w:hAnsi="David" w:cs="David"/>
          <w:rtl/>
        </w:rPr>
        <w:t>.</w:t>
      </w:r>
    </w:p>
  </w:footnote>
  <w:footnote w:id="83">
    <w:p w14:paraId="42F75DEF" w14:textId="109A669C"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החלטת הביניים בעניין </w:t>
      </w:r>
      <w:r w:rsidRPr="005F3228">
        <w:rPr>
          <w:rFonts w:ascii="David" w:hAnsi="David" w:cs="David"/>
          <w:b/>
          <w:bCs/>
          <w:rtl/>
        </w:rPr>
        <w:t>רדיו ללא הפסקה</w:t>
      </w:r>
      <w:r w:rsidRPr="005F3228">
        <w:rPr>
          <w:rFonts w:ascii="David" w:hAnsi="David" w:cs="David"/>
          <w:rtl/>
        </w:rPr>
        <w:t xml:space="preserve">, </w:t>
      </w:r>
      <w:r w:rsidRPr="005F3228">
        <w:rPr>
          <w:rFonts w:ascii="David" w:hAnsi="David" w:cs="David"/>
          <w:b/>
          <w:bCs/>
          <w:rtl/>
        </w:rPr>
        <w:t xml:space="preserve">לעיל </w:t>
      </w:r>
      <w:r w:rsidRPr="005F3228">
        <w:rPr>
          <w:rFonts w:ascii="David" w:hAnsi="David" w:cs="David"/>
          <w:rtl/>
        </w:rPr>
        <w:t xml:space="preserve">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Ref27911137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12</w:t>
      </w:r>
      <w:r w:rsidRPr="005F3228">
        <w:rPr>
          <w:rFonts w:ascii="David" w:hAnsi="David" w:cs="David"/>
          <w:rtl/>
        </w:rPr>
        <w:fldChar w:fldCharType="end"/>
      </w:r>
      <w:r w:rsidRPr="005F3228">
        <w:rPr>
          <w:rFonts w:ascii="David" w:hAnsi="David" w:cs="David"/>
          <w:rtl/>
        </w:rPr>
        <w:t xml:space="preserve">, שם ניתן צו מניעה זמני כנגד רשות השידור. מאוחר יותר ניתן צו מניעה קבוע במסגרת פסק הדין העיקרי בתיק: </w:t>
      </w:r>
      <w:r w:rsidRPr="005F3228">
        <w:rPr>
          <w:rFonts w:ascii="David" w:hAnsi="David" w:cs="David"/>
          <w:b/>
          <w:bCs/>
          <w:rtl/>
        </w:rPr>
        <w:t>פסק דין</w:t>
      </w:r>
      <w:r w:rsidRPr="005F3228">
        <w:rPr>
          <w:rFonts w:ascii="David" w:hAnsi="David" w:cs="David"/>
          <w:rtl/>
        </w:rPr>
        <w:t xml:space="preserve"> </w:t>
      </w:r>
      <w:r w:rsidRPr="005F3228">
        <w:rPr>
          <w:rFonts w:ascii="David" w:hAnsi="David" w:cs="David"/>
          <w:b/>
          <w:bCs/>
          <w:rtl/>
        </w:rPr>
        <w:t>רדיו ללא הפסקה</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Ref27911137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12</w:t>
      </w:r>
      <w:r w:rsidRPr="005F3228">
        <w:rPr>
          <w:rFonts w:ascii="David" w:hAnsi="David" w:cs="David"/>
          <w:rtl/>
        </w:rPr>
        <w:fldChar w:fldCharType="end"/>
      </w:r>
      <w:r w:rsidRPr="005F3228">
        <w:rPr>
          <w:rFonts w:ascii="David" w:hAnsi="David" w:cs="David"/>
          <w:rtl/>
        </w:rPr>
        <w:t>.</w:t>
      </w:r>
    </w:p>
  </w:footnote>
  <w:footnote w:id="84">
    <w:p w14:paraId="26DB6D4C" w14:textId="72660C35"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החלטת הביניים בעניין </w:t>
      </w:r>
      <w:r w:rsidRPr="005F3228">
        <w:rPr>
          <w:rFonts w:ascii="David" w:hAnsi="David" w:cs="David"/>
          <w:b/>
          <w:bCs/>
          <w:rtl/>
        </w:rPr>
        <w:t>רדיו ללא הפסקה</w:t>
      </w:r>
      <w:r w:rsidRPr="005F3228">
        <w:rPr>
          <w:rFonts w:ascii="David" w:hAnsi="David" w:cs="David"/>
          <w:rtl/>
        </w:rPr>
        <w:t xml:space="preserve">, </w:t>
      </w:r>
      <w:r w:rsidRPr="005F3228">
        <w:rPr>
          <w:rFonts w:ascii="David" w:hAnsi="David" w:cs="David"/>
          <w:b/>
          <w:bCs/>
          <w:rtl/>
        </w:rPr>
        <w:t xml:space="preserve">לעיל </w:t>
      </w:r>
      <w:r w:rsidRPr="005F3228">
        <w:rPr>
          <w:rFonts w:ascii="David" w:hAnsi="David" w:cs="David"/>
          <w:rtl/>
        </w:rPr>
        <w:t xml:space="preserve">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Ref27911137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12</w:t>
      </w:r>
      <w:r w:rsidRPr="005F3228">
        <w:rPr>
          <w:rFonts w:ascii="David" w:hAnsi="David" w:cs="David"/>
          <w:rtl/>
        </w:rPr>
        <w:fldChar w:fldCharType="end"/>
      </w:r>
      <w:r w:rsidRPr="005F3228">
        <w:rPr>
          <w:rFonts w:ascii="David" w:hAnsi="David" w:cs="David"/>
          <w:rtl/>
        </w:rPr>
        <w:t>, בפסקה ג.</w:t>
      </w:r>
    </w:p>
  </w:footnote>
  <w:footnote w:id="85">
    <w:p w14:paraId="4AFCBD6C" w14:textId="2ACD3F8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ראו למשל בארה"ב </w:t>
      </w:r>
      <w:r w:rsidRPr="005F3228">
        <w:rPr>
          <w:rFonts w:ascii="David" w:hAnsi="David" w:cs="David"/>
        </w:rPr>
        <w:t>Pittsburgh Athletic v. KQV Broadcasting 24 F Supp. 490 (1938)</w:t>
      </w:r>
      <w:r w:rsidRPr="005F3228">
        <w:rPr>
          <w:rFonts w:ascii="David" w:hAnsi="David" w:cs="David"/>
          <w:rtl/>
        </w:rPr>
        <w:t xml:space="preserve"> (שם הוכרה הגנה על זכויות שידור לאירוע ספורט על בסיס עקרונות של תחרות בלתי הוגנת); </w:t>
      </w:r>
      <w:r w:rsidRPr="005F3228">
        <w:rPr>
          <w:rFonts w:ascii="David" w:hAnsi="David" w:cs="David"/>
          <w:b/>
          <w:bCs/>
          <w:rtl/>
        </w:rPr>
        <w:t>פסח</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Ref28286155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79</w:t>
      </w:r>
      <w:r w:rsidRPr="005F3228">
        <w:rPr>
          <w:rFonts w:ascii="David" w:hAnsi="David" w:cs="David"/>
          <w:rtl/>
        </w:rPr>
        <w:fldChar w:fldCharType="end"/>
      </w:r>
      <w:r w:rsidRPr="005F3228">
        <w:rPr>
          <w:rFonts w:ascii="David" w:hAnsi="David" w:cs="David"/>
          <w:rtl/>
        </w:rPr>
        <w:t>, בעמ' 138-39.</w:t>
      </w:r>
    </w:p>
  </w:footnote>
  <w:footnote w:id="86">
    <w:p w14:paraId="5CFBB6A5" w14:textId="02EE499D" w:rsidR="00F06EA1" w:rsidRPr="005F3228" w:rsidRDefault="00F06EA1" w:rsidP="000D19A0">
      <w:pPr>
        <w:spacing w:after="0" w:line="240" w:lineRule="auto"/>
        <w:ind w:firstLine="29"/>
        <w:jc w:val="both"/>
        <w:rPr>
          <w:rFonts w:ascii="David" w:hAnsi="David" w:cs="David"/>
          <w:sz w:val="20"/>
          <w:szCs w:val="20"/>
        </w:rPr>
      </w:pPr>
      <w:r w:rsidRPr="005F3228">
        <w:rPr>
          <w:rStyle w:val="FootnoteReference"/>
          <w:rFonts w:ascii="David" w:hAnsi="David" w:cs="David"/>
          <w:sz w:val="20"/>
          <w:szCs w:val="20"/>
        </w:rPr>
        <w:footnoteRef/>
      </w:r>
      <w:r w:rsidRPr="005F3228">
        <w:rPr>
          <w:rFonts w:ascii="David" w:hAnsi="David" w:cs="David"/>
          <w:sz w:val="20"/>
          <w:szCs w:val="20"/>
          <w:rtl/>
        </w:rPr>
        <w:t xml:space="preserve"> </w:t>
      </w:r>
      <w:r w:rsidRPr="005F3228">
        <w:rPr>
          <w:rFonts w:ascii="David" w:hAnsi="David" w:cs="David"/>
          <w:sz w:val="20"/>
          <w:szCs w:val="20"/>
          <w:rtl/>
        </w:rPr>
        <w:t xml:space="preserve">ראו החלטת הביניים בעניין רדיו ללא הפסקה, </w:t>
      </w:r>
      <w:r w:rsidRPr="005F3228">
        <w:rPr>
          <w:rFonts w:ascii="David" w:hAnsi="David" w:cs="David"/>
          <w:b/>
          <w:bCs/>
          <w:sz w:val="20"/>
          <w:szCs w:val="20"/>
          <w:rtl/>
        </w:rPr>
        <w:t>לעיל</w:t>
      </w:r>
      <w:r w:rsidRPr="005F3228">
        <w:rPr>
          <w:rFonts w:ascii="David" w:hAnsi="David" w:cs="David"/>
          <w:sz w:val="20"/>
          <w:szCs w:val="20"/>
          <w:rtl/>
        </w:rPr>
        <w:t xml:space="preserve"> הערה </w:t>
      </w:r>
      <w:r w:rsidRPr="005F3228">
        <w:rPr>
          <w:rFonts w:ascii="David" w:hAnsi="David" w:cs="David"/>
          <w:sz w:val="20"/>
          <w:szCs w:val="20"/>
          <w:rtl/>
        </w:rPr>
        <w:fldChar w:fldCharType="begin"/>
      </w:r>
      <w:r w:rsidRPr="005F3228">
        <w:rPr>
          <w:rFonts w:ascii="David" w:hAnsi="David" w:cs="David"/>
          <w:sz w:val="20"/>
          <w:szCs w:val="20"/>
          <w:rtl/>
        </w:rPr>
        <w:instrText xml:space="preserve"> </w:instrText>
      </w:r>
      <w:r w:rsidRPr="005F3228">
        <w:rPr>
          <w:rFonts w:ascii="David" w:hAnsi="David" w:cs="David"/>
          <w:sz w:val="20"/>
          <w:szCs w:val="20"/>
        </w:rPr>
        <w:instrText>NOTEREF</w:instrText>
      </w:r>
      <w:r w:rsidRPr="005F3228">
        <w:rPr>
          <w:rFonts w:ascii="David" w:hAnsi="David" w:cs="David"/>
          <w:sz w:val="20"/>
          <w:szCs w:val="20"/>
          <w:rtl/>
        </w:rPr>
        <w:instrText xml:space="preserve"> _</w:instrText>
      </w:r>
      <w:r w:rsidRPr="005F3228">
        <w:rPr>
          <w:rFonts w:ascii="David" w:hAnsi="David" w:cs="David"/>
          <w:sz w:val="20"/>
          <w:szCs w:val="20"/>
        </w:rPr>
        <w:instrText>Ref27911137 \h</w:instrText>
      </w:r>
      <w:r w:rsidRPr="005F3228">
        <w:rPr>
          <w:rFonts w:ascii="David" w:hAnsi="David" w:cs="David"/>
          <w:sz w:val="20"/>
          <w:szCs w:val="20"/>
          <w:rtl/>
        </w:rPr>
        <w:instrText xml:space="preserve">  \* </w:instrText>
      </w:r>
      <w:r w:rsidRPr="005F3228">
        <w:rPr>
          <w:rFonts w:ascii="David" w:hAnsi="David" w:cs="David"/>
          <w:sz w:val="20"/>
          <w:szCs w:val="20"/>
        </w:rPr>
        <w:instrText>MERGEFORMAT</w:instrText>
      </w:r>
      <w:r w:rsidRPr="005F3228">
        <w:rPr>
          <w:rFonts w:ascii="David" w:hAnsi="David" w:cs="David"/>
          <w:sz w:val="20"/>
          <w:szCs w:val="20"/>
          <w:rtl/>
        </w:rPr>
        <w:instrText xml:space="preserve"> </w:instrText>
      </w:r>
      <w:r w:rsidRPr="005F3228">
        <w:rPr>
          <w:rFonts w:ascii="David" w:hAnsi="David" w:cs="David"/>
          <w:sz w:val="20"/>
          <w:szCs w:val="20"/>
          <w:rtl/>
        </w:rPr>
      </w:r>
      <w:r w:rsidRPr="005F3228">
        <w:rPr>
          <w:rFonts w:ascii="David" w:hAnsi="David" w:cs="David"/>
          <w:sz w:val="20"/>
          <w:szCs w:val="20"/>
          <w:rtl/>
        </w:rPr>
        <w:fldChar w:fldCharType="separate"/>
      </w:r>
      <w:r w:rsidRPr="005F3228">
        <w:rPr>
          <w:rFonts w:ascii="David" w:hAnsi="David" w:cs="David"/>
          <w:sz w:val="20"/>
          <w:szCs w:val="20"/>
          <w:rtl/>
        </w:rPr>
        <w:t>12</w:t>
      </w:r>
      <w:r w:rsidRPr="005F3228">
        <w:rPr>
          <w:rFonts w:ascii="David" w:hAnsi="David" w:cs="David"/>
          <w:sz w:val="20"/>
          <w:szCs w:val="20"/>
          <w:rtl/>
        </w:rPr>
        <w:fldChar w:fldCharType="end"/>
      </w:r>
      <w:r w:rsidRPr="005F3228">
        <w:rPr>
          <w:rFonts w:ascii="David" w:hAnsi="David" w:cs="David"/>
          <w:sz w:val="20"/>
          <w:szCs w:val="20"/>
          <w:rtl/>
        </w:rPr>
        <w:t xml:space="preserve"> ("ההתאחדות מארגנת את המשחקים, וזכותה להפיק מהם את התועלת הכלכלית </w:t>
      </w:r>
      <w:proofErr w:type="spellStart"/>
      <w:r w:rsidRPr="005F3228">
        <w:rPr>
          <w:rFonts w:ascii="David" w:hAnsi="David" w:cs="David"/>
          <w:sz w:val="20"/>
          <w:szCs w:val="20"/>
          <w:rtl/>
        </w:rPr>
        <w:t>המירבית</w:t>
      </w:r>
      <w:proofErr w:type="spellEnd"/>
      <w:r w:rsidRPr="005F3228">
        <w:rPr>
          <w:rFonts w:ascii="David" w:hAnsi="David" w:cs="David"/>
          <w:sz w:val="20"/>
          <w:szCs w:val="20"/>
          <w:rtl/>
        </w:rPr>
        <w:t xml:space="preserve">… המשחקים בהם מדובר הינם מופעי בידור המוני המופקים על ידי ההתאחדות ואגודות הספורט הרלבנטיות."). </w:t>
      </w:r>
    </w:p>
  </w:footnote>
  <w:footnote w:id="87">
    <w:p w14:paraId="3F9AACB0" w14:textId="1533DFB5"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לדעה התומכת בהסדר חקיקתי מפורש בנושא זכות הפרסום ראו שפרבר,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Ref28248544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66</w:t>
      </w:r>
      <w:r w:rsidRPr="005F3228">
        <w:rPr>
          <w:rFonts w:ascii="David" w:hAnsi="David" w:cs="David"/>
          <w:rtl/>
        </w:rPr>
        <w:fldChar w:fldCharType="end"/>
      </w:r>
      <w:r w:rsidRPr="005F3228">
        <w:rPr>
          <w:rFonts w:ascii="David" w:hAnsi="David" w:cs="David"/>
          <w:rtl/>
        </w:rPr>
        <w:t xml:space="preserve">, בעמ' 720 ("משהוכר הצורך בהגנה על ערכו הפרסומי של האדם, ראוי שבית המחוקקים יכיר בזכות הפרסום ויעגן אותה בחוק"). השוו פסח, </w:t>
      </w:r>
      <w:r w:rsidRPr="005F3228">
        <w:rPr>
          <w:rFonts w:ascii="David" w:hAnsi="David" w:cs="David"/>
          <w:b/>
          <w:bCs/>
          <w:rtl/>
        </w:rPr>
        <w:t>לעיל</w:t>
      </w:r>
      <w:r w:rsidRPr="005F3228">
        <w:rPr>
          <w:rFonts w:ascii="David" w:hAnsi="David" w:cs="David"/>
          <w:rtl/>
        </w:rPr>
        <w:t xml:space="preserve"> הערה</w:t>
      </w:r>
      <w:r w:rsidRPr="005F3228">
        <w:rPr>
          <w:rFonts w:ascii="David" w:hAnsi="David" w:cs="David"/>
          <w:b/>
          <w:bCs/>
          <w:rtl/>
        </w:rPr>
        <w:t xml:space="preserve"> </w:t>
      </w:r>
      <w:r w:rsidRPr="005F3228">
        <w:rPr>
          <w:rFonts w:ascii="David" w:hAnsi="David" w:cs="David"/>
          <w:rtl/>
        </w:rPr>
        <w:t xml:space="preserve">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Ref28286155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79</w:t>
      </w:r>
      <w:r w:rsidRPr="005F3228">
        <w:rPr>
          <w:rFonts w:ascii="David" w:hAnsi="David" w:cs="David"/>
          <w:rtl/>
        </w:rPr>
        <w:fldChar w:fldCharType="end"/>
      </w:r>
      <w:r w:rsidRPr="005F3228">
        <w:rPr>
          <w:rFonts w:ascii="David" w:hAnsi="David" w:cs="David"/>
          <w:rtl/>
        </w:rPr>
        <w:t>, בעמ' 141, 145, שם מסביר המחבר מדוע הסדר חקיקתי מפורש עדיף על פני השימוש בדיני עשיית עושר ולא במשפט כמקור לביסוסן המשפטי של "זכויות שידור".</w:t>
      </w:r>
    </w:p>
  </w:footnote>
  <w:footnote w:id="88">
    <w:p w14:paraId="2BDFA020" w14:textId="77777777" w:rsidR="00F06EA1" w:rsidRPr="005F3228" w:rsidRDefault="00F06EA1" w:rsidP="000D19A0">
      <w:pPr>
        <w:spacing w:after="0" w:line="240" w:lineRule="auto"/>
        <w:jc w:val="both"/>
        <w:rPr>
          <w:rFonts w:ascii="David" w:hAnsi="David" w:cs="David"/>
          <w:sz w:val="20"/>
          <w:szCs w:val="20"/>
        </w:rPr>
      </w:pPr>
      <w:r w:rsidRPr="005F3228">
        <w:rPr>
          <w:rStyle w:val="FootnoteReference"/>
          <w:rFonts w:ascii="David" w:hAnsi="David" w:cs="David"/>
          <w:sz w:val="20"/>
          <w:szCs w:val="20"/>
        </w:rPr>
        <w:footnoteRef/>
      </w:r>
      <w:r w:rsidRPr="005F3228">
        <w:rPr>
          <w:rFonts w:ascii="David" w:hAnsi="David" w:cs="David"/>
          <w:sz w:val="20"/>
          <w:szCs w:val="20"/>
          <w:rtl/>
        </w:rPr>
        <w:t xml:space="preserve"> ראו סעיף 4(ב) לחוק זכות יוצרים, התשס"ח-2007, וכן ע"א 8485/08 </w:t>
      </w:r>
      <w:r w:rsidRPr="005F3228">
        <w:rPr>
          <w:rFonts w:ascii="David" w:hAnsi="David" w:cs="David"/>
          <w:b/>
          <w:bCs/>
          <w:sz w:val="20"/>
          <w:szCs w:val="20"/>
        </w:rPr>
        <w:t>The FA Premier League Limited</w:t>
      </w:r>
      <w:r w:rsidRPr="005F3228">
        <w:rPr>
          <w:rFonts w:ascii="David" w:hAnsi="David" w:cs="David"/>
          <w:b/>
          <w:bCs/>
          <w:sz w:val="20"/>
          <w:szCs w:val="20"/>
          <w:rtl/>
        </w:rPr>
        <w:t xml:space="preserve"> נ' המועצה להסדר ההימורים בספורט</w:t>
      </w:r>
      <w:r w:rsidRPr="005F3228">
        <w:rPr>
          <w:rFonts w:ascii="David" w:hAnsi="David" w:cs="David"/>
          <w:sz w:val="20"/>
          <w:szCs w:val="20"/>
          <w:rtl/>
        </w:rPr>
        <w:t xml:space="preserve"> (2010) ("עניין</w:t>
      </w:r>
      <w:r w:rsidRPr="005F3228">
        <w:rPr>
          <w:rFonts w:ascii="David" w:hAnsi="David" w:cs="David"/>
          <w:b/>
          <w:bCs/>
          <w:sz w:val="20"/>
          <w:szCs w:val="20"/>
          <w:rtl/>
        </w:rPr>
        <w:t xml:space="preserve"> </w:t>
      </w:r>
      <w:proofErr w:type="spellStart"/>
      <w:r w:rsidRPr="005F3228">
        <w:rPr>
          <w:rFonts w:ascii="David" w:hAnsi="David" w:cs="David"/>
          <w:b/>
          <w:bCs/>
          <w:sz w:val="20"/>
          <w:szCs w:val="20"/>
          <w:rtl/>
        </w:rPr>
        <w:t>פרמייר</w:t>
      </w:r>
      <w:proofErr w:type="spellEnd"/>
      <w:r w:rsidRPr="005F3228">
        <w:rPr>
          <w:rFonts w:ascii="David" w:hAnsi="David" w:cs="David"/>
          <w:b/>
          <w:bCs/>
          <w:sz w:val="20"/>
          <w:szCs w:val="20"/>
          <w:rtl/>
        </w:rPr>
        <w:t xml:space="preserve"> ליג</w:t>
      </w:r>
      <w:r w:rsidRPr="005F3228">
        <w:rPr>
          <w:rFonts w:ascii="David" w:hAnsi="David" w:cs="David"/>
          <w:sz w:val="20"/>
          <w:szCs w:val="20"/>
          <w:rtl/>
        </w:rPr>
        <w:t xml:space="preserve">"); </w:t>
      </w:r>
      <w:r w:rsidRPr="005F3228">
        <w:rPr>
          <w:rFonts w:ascii="David" w:hAnsi="David" w:cs="David"/>
          <w:color w:val="000000"/>
          <w:sz w:val="20"/>
          <w:szCs w:val="20"/>
          <w:rtl/>
        </w:rPr>
        <w:t xml:space="preserve">ת"א (מחוזי ת"א) 1074/05‏‏ </w:t>
      </w:r>
      <w:r w:rsidRPr="005F3228">
        <w:rPr>
          <w:rFonts w:ascii="David" w:hAnsi="David" w:cs="David"/>
          <w:b/>
          <w:bCs/>
          <w:color w:val="000000"/>
          <w:sz w:val="20"/>
          <w:szCs w:val="20"/>
          <w:rtl/>
        </w:rPr>
        <w:t>מעריב הוצאת מודיעין בע"מ נ' חברת אול יו ניד בע"מ</w:t>
      </w:r>
      <w:r w:rsidRPr="005F3228">
        <w:rPr>
          <w:rFonts w:ascii="David" w:hAnsi="David" w:cs="David"/>
          <w:sz w:val="20"/>
          <w:szCs w:val="20"/>
          <w:rtl/>
        </w:rPr>
        <w:t xml:space="preserve"> (2010) ("עניין</w:t>
      </w:r>
      <w:r w:rsidRPr="005F3228">
        <w:rPr>
          <w:rFonts w:ascii="David" w:hAnsi="David" w:cs="David"/>
          <w:b/>
          <w:bCs/>
          <w:sz w:val="20"/>
          <w:szCs w:val="20"/>
          <w:rtl/>
        </w:rPr>
        <w:t xml:space="preserve"> מעריב</w:t>
      </w:r>
      <w:r w:rsidRPr="005F3228">
        <w:rPr>
          <w:rFonts w:ascii="David" w:hAnsi="David" w:cs="David"/>
          <w:sz w:val="20"/>
          <w:szCs w:val="20"/>
          <w:rtl/>
        </w:rPr>
        <w:t>")</w:t>
      </w:r>
      <w:r w:rsidRPr="005F3228">
        <w:rPr>
          <w:rFonts w:ascii="David" w:hAnsi="David" w:cs="David"/>
          <w:color w:val="000000"/>
          <w:sz w:val="20"/>
          <w:szCs w:val="20"/>
          <w:rtl/>
        </w:rPr>
        <w:t>.</w:t>
      </w:r>
    </w:p>
  </w:footnote>
  <w:footnote w:id="89">
    <w:p w14:paraId="3D0EAA57"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ראו </w:t>
      </w:r>
      <w:r w:rsidRPr="005F3228">
        <w:rPr>
          <w:rFonts w:ascii="David" w:hAnsi="David" w:cs="David"/>
          <w:shd w:val="clear" w:color="auto" w:fill="FFFFFF"/>
        </w:rPr>
        <w:t>Directive 96/9/EC of the European Parliament and of the Council of 11 March 1996 on the Legal Protection of Databases</w:t>
      </w:r>
      <w:r w:rsidRPr="005F3228">
        <w:rPr>
          <w:rFonts w:ascii="David" w:hAnsi="David" w:cs="David"/>
          <w:shd w:val="clear" w:color="auto" w:fill="FFFFFF"/>
          <w:rtl/>
        </w:rPr>
        <w:t xml:space="preserve">. בסעיף 7 לדירקטיבה נקבעה </w:t>
      </w:r>
      <w:r w:rsidRPr="005F3228">
        <w:rPr>
          <w:rFonts w:ascii="David" w:hAnsi="David" w:cs="David"/>
          <w:rtl/>
        </w:rPr>
        <w:t>זכות "</w:t>
      </w:r>
      <w:r w:rsidRPr="005F3228">
        <w:rPr>
          <w:rFonts w:ascii="David" w:hAnsi="David" w:cs="David"/>
        </w:rPr>
        <w:t>Sui Generis</w:t>
      </w:r>
      <w:r w:rsidRPr="005F3228">
        <w:rPr>
          <w:rFonts w:ascii="David" w:hAnsi="David" w:cs="David"/>
          <w:rtl/>
        </w:rPr>
        <w:t xml:space="preserve">" המגנה על תוכן המאגר, כזכות נפרדת מזכות היוצרים ב"בחירה ובארגון" שלו. </w:t>
      </w:r>
    </w:p>
  </w:footnote>
  <w:footnote w:id="90">
    <w:p w14:paraId="76A9A6B7" w14:textId="7896D33F"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עניין </w:t>
      </w:r>
      <w:proofErr w:type="spellStart"/>
      <w:r w:rsidRPr="005F3228">
        <w:rPr>
          <w:rFonts w:ascii="David" w:hAnsi="David" w:cs="David"/>
          <w:b/>
          <w:bCs/>
          <w:rtl/>
        </w:rPr>
        <w:t>פרמייר</w:t>
      </w:r>
      <w:proofErr w:type="spellEnd"/>
      <w:r w:rsidRPr="005F3228">
        <w:rPr>
          <w:rFonts w:ascii="David" w:hAnsi="David" w:cs="David"/>
          <w:b/>
          <w:bCs/>
          <w:rtl/>
        </w:rPr>
        <w:t xml:space="preserve"> ליג</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Ref28325658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86</w:t>
      </w:r>
      <w:r w:rsidRPr="005F3228">
        <w:rPr>
          <w:rFonts w:ascii="David" w:hAnsi="David" w:cs="David"/>
          <w:rtl/>
        </w:rPr>
        <w:fldChar w:fldCharType="end"/>
      </w:r>
      <w:r w:rsidRPr="005F3228">
        <w:rPr>
          <w:rFonts w:ascii="David" w:hAnsi="David" w:cs="David"/>
          <w:rtl/>
        </w:rPr>
        <w:t xml:space="preserve">, ועניין </w:t>
      </w:r>
      <w:r w:rsidRPr="005F3228">
        <w:rPr>
          <w:rFonts w:ascii="David" w:hAnsi="David" w:cs="David"/>
          <w:b/>
          <w:bCs/>
          <w:rtl/>
        </w:rPr>
        <w:t>מעריב</w:t>
      </w:r>
      <w:r w:rsidRPr="005F3228">
        <w:rPr>
          <w:rFonts w:ascii="David" w:hAnsi="David" w:cs="David"/>
          <w:rtl/>
        </w:rPr>
        <w:t xml:space="preserve">, </w:t>
      </w:r>
      <w:r w:rsidRPr="005F3228">
        <w:rPr>
          <w:rFonts w:ascii="David" w:hAnsi="David" w:cs="David"/>
          <w:b/>
          <w:bCs/>
          <w:rtl/>
        </w:rPr>
        <w:t xml:space="preserve">לעיל </w:t>
      </w:r>
      <w:r w:rsidRPr="005F3228">
        <w:rPr>
          <w:rFonts w:ascii="David" w:hAnsi="David" w:cs="David"/>
          <w:rtl/>
        </w:rPr>
        <w:t xml:space="preserve">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Ref28325658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86</w:t>
      </w:r>
      <w:r w:rsidRPr="005F3228">
        <w:rPr>
          <w:rFonts w:ascii="David" w:hAnsi="David" w:cs="David"/>
          <w:rtl/>
        </w:rPr>
        <w:fldChar w:fldCharType="end"/>
      </w:r>
      <w:r w:rsidRPr="005F3228">
        <w:rPr>
          <w:rFonts w:ascii="David" w:hAnsi="David" w:cs="David"/>
          <w:rtl/>
        </w:rPr>
        <w:t xml:space="preserve">. </w:t>
      </w:r>
    </w:p>
  </w:footnote>
  <w:footnote w:id="91">
    <w:p w14:paraId="656DB5E3"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ת"א (מחוזי ת"א) 2318/03 </w:t>
      </w:r>
      <w:r w:rsidRPr="005F3228">
        <w:rPr>
          <w:rFonts w:ascii="David" w:hAnsi="David" w:cs="David"/>
          <w:b/>
          <w:bCs/>
          <w:rtl/>
        </w:rPr>
        <w:t>אהרן קצב נ' פסקות עד יבוא ושיווק בע"מ</w:t>
      </w:r>
      <w:r w:rsidRPr="005F3228">
        <w:rPr>
          <w:rFonts w:ascii="David" w:hAnsi="David" w:cs="David"/>
          <w:rtl/>
        </w:rPr>
        <w:t xml:space="preserve"> (2007); בש"א (מחוזי י-ם) 2343/03 </w:t>
      </w:r>
      <w:r w:rsidRPr="005F3228">
        <w:rPr>
          <w:rFonts w:ascii="David" w:hAnsi="David" w:cs="David"/>
          <w:b/>
          <w:bCs/>
          <w:rtl/>
        </w:rPr>
        <w:t xml:space="preserve">קליק נ' </w:t>
      </w:r>
      <w:proofErr w:type="spellStart"/>
      <w:r w:rsidRPr="005F3228">
        <w:rPr>
          <w:rFonts w:ascii="David" w:hAnsi="David" w:cs="David"/>
          <w:b/>
          <w:bCs/>
          <w:rtl/>
        </w:rPr>
        <w:t>רו</w:t>
      </w:r>
      <w:proofErr w:type="spellEnd"/>
      <w:r w:rsidRPr="005F3228">
        <w:rPr>
          <w:rFonts w:ascii="David" w:hAnsi="David" w:cs="David"/>
          <w:b/>
          <w:bCs/>
          <w:rtl/>
        </w:rPr>
        <w:t>-דן אופנה</w:t>
      </w:r>
      <w:r w:rsidRPr="005F3228">
        <w:rPr>
          <w:rFonts w:ascii="David" w:hAnsi="David" w:cs="David"/>
          <w:rtl/>
        </w:rPr>
        <w:t xml:space="preserve"> (2003); ת"א</w:t>
      </w:r>
      <w:r w:rsidRPr="005F3228">
        <w:rPr>
          <w:rFonts w:ascii="David" w:hAnsi="David" w:cs="David"/>
        </w:rPr>
        <w:t xml:space="preserve"> </w:t>
      </w:r>
      <w:r w:rsidRPr="005F3228">
        <w:rPr>
          <w:rFonts w:ascii="David" w:hAnsi="David" w:cs="David"/>
          <w:rtl/>
        </w:rPr>
        <w:t xml:space="preserve">(מחוזי ת"א) 24911-12-10 </w:t>
      </w:r>
      <w:proofErr w:type="spellStart"/>
      <w:r w:rsidRPr="005F3228">
        <w:rPr>
          <w:rFonts w:ascii="David" w:hAnsi="David" w:cs="David"/>
          <w:b/>
          <w:bCs/>
          <w:rtl/>
        </w:rPr>
        <w:t>קלוגן</w:t>
      </w:r>
      <w:proofErr w:type="spellEnd"/>
      <w:r w:rsidRPr="005F3228">
        <w:rPr>
          <w:rFonts w:ascii="David" w:hAnsi="David" w:cs="David"/>
          <w:b/>
          <w:bCs/>
          <w:rtl/>
        </w:rPr>
        <w:t xml:space="preserve"> נ' </w:t>
      </w:r>
      <w:proofErr w:type="spellStart"/>
      <w:r w:rsidRPr="005F3228">
        <w:rPr>
          <w:rFonts w:ascii="David" w:hAnsi="David" w:cs="David"/>
          <w:b/>
          <w:bCs/>
          <w:rtl/>
        </w:rPr>
        <w:t>גורובי</w:t>
      </w:r>
      <w:proofErr w:type="spellEnd"/>
      <w:r w:rsidRPr="005F3228">
        <w:rPr>
          <w:rFonts w:ascii="David" w:hAnsi="David" w:cs="David"/>
          <w:rtl/>
        </w:rPr>
        <w:t xml:space="preserve"> (2011) ("עניין </w:t>
      </w:r>
      <w:proofErr w:type="spellStart"/>
      <w:r w:rsidRPr="005F3228">
        <w:rPr>
          <w:rFonts w:ascii="David" w:hAnsi="David" w:cs="David"/>
          <w:b/>
          <w:bCs/>
          <w:rtl/>
        </w:rPr>
        <w:t>קלוגן</w:t>
      </w:r>
      <w:proofErr w:type="spellEnd"/>
      <w:r w:rsidRPr="005F3228">
        <w:rPr>
          <w:rFonts w:ascii="David" w:hAnsi="David" w:cs="David"/>
          <w:rtl/>
        </w:rPr>
        <w:t xml:space="preserve">") (יצוין כי סיווג פסק דין אחרון זה כ"דמוי </w:t>
      </w:r>
      <w:proofErr w:type="spellStart"/>
      <w:r w:rsidRPr="005F3228">
        <w:rPr>
          <w:rFonts w:ascii="David" w:hAnsi="David" w:cs="David"/>
          <w:rtl/>
        </w:rPr>
        <w:t>א.ש.י.ר</w:t>
      </w:r>
      <w:proofErr w:type="spellEnd"/>
      <w:r w:rsidRPr="005F3228">
        <w:rPr>
          <w:rFonts w:ascii="David" w:hAnsi="David" w:cs="David"/>
          <w:rtl/>
        </w:rPr>
        <w:t xml:space="preserve">." אינו נקי מספק, שכן עילת עשיית העושר במקרה זה לא נגעה במישרין למישור הקניין הרוחני, התובעת, מעצבת בגדים, סיפקה לנתבע גזרות ודגמים על-מנת שיפיץ את הבגדים לחנויות. הנתבע קיבל כסף מחנות בעבור דגמי התובעת ולא עדכן בכך את התובעת, ובכך התעשר על חשבונה בסכום של 1,473 ₪). </w:t>
      </w:r>
    </w:p>
  </w:footnote>
  <w:footnote w:id="92">
    <w:p w14:paraId="3CE7A599"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ע"א 3894/03 </w:t>
      </w:r>
      <w:r w:rsidRPr="005F3228">
        <w:rPr>
          <w:rFonts w:ascii="David" w:hAnsi="David" w:cs="David"/>
          <w:b/>
          <w:bCs/>
          <w:rtl/>
        </w:rPr>
        <w:t xml:space="preserve">הניה </w:t>
      </w:r>
      <w:proofErr w:type="spellStart"/>
      <w:r w:rsidRPr="005F3228">
        <w:rPr>
          <w:rFonts w:ascii="David" w:hAnsi="David" w:cs="David"/>
          <w:b/>
          <w:bCs/>
          <w:rtl/>
        </w:rPr>
        <w:t>דויטש</w:t>
      </w:r>
      <w:proofErr w:type="spellEnd"/>
      <w:r w:rsidRPr="005F3228">
        <w:rPr>
          <w:rFonts w:ascii="David" w:hAnsi="David" w:cs="David"/>
          <w:b/>
          <w:bCs/>
          <w:rtl/>
        </w:rPr>
        <w:t xml:space="preserve"> נ' </w:t>
      </w:r>
      <w:proofErr w:type="spellStart"/>
      <w:r w:rsidRPr="005F3228">
        <w:rPr>
          <w:rFonts w:ascii="David" w:hAnsi="David" w:cs="David"/>
          <w:b/>
          <w:bCs/>
          <w:rtl/>
        </w:rPr>
        <w:t>ישראפלאורס</w:t>
      </w:r>
      <w:proofErr w:type="spellEnd"/>
      <w:r w:rsidRPr="005F3228">
        <w:rPr>
          <w:rFonts w:ascii="David" w:hAnsi="David" w:cs="David"/>
          <w:b/>
          <w:bCs/>
          <w:rtl/>
        </w:rPr>
        <w:t xml:space="preserve"> </w:t>
      </w:r>
      <w:r w:rsidRPr="005F3228">
        <w:rPr>
          <w:rFonts w:ascii="David" w:hAnsi="David" w:cs="David"/>
          <w:rtl/>
        </w:rPr>
        <w:t xml:space="preserve">(2012); ת"א (מחוזי ת"א) 1439/06 </w:t>
      </w:r>
      <w:proofErr w:type="spellStart"/>
      <w:r w:rsidRPr="005F3228">
        <w:rPr>
          <w:rFonts w:ascii="David" w:hAnsi="David" w:cs="David"/>
          <w:b/>
          <w:bCs/>
          <w:rtl/>
        </w:rPr>
        <w:t>סימנדה</w:t>
      </w:r>
      <w:proofErr w:type="spellEnd"/>
      <w:r w:rsidRPr="005F3228">
        <w:rPr>
          <w:rFonts w:ascii="David" w:hAnsi="David" w:cs="David"/>
          <w:b/>
          <w:bCs/>
          <w:rtl/>
        </w:rPr>
        <w:t xml:space="preserve"> נ' </w:t>
      </w:r>
      <w:proofErr w:type="spellStart"/>
      <w:r w:rsidRPr="005F3228">
        <w:rPr>
          <w:rFonts w:ascii="David" w:hAnsi="David" w:cs="David"/>
          <w:b/>
          <w:bCs/>
          <w:rtl/>
        </w:rPr>
        <w:t>א.ג.א.ש.א</w:t>
      </w:r>
      <w:proofErr w:type="spellEnd"/>
      <w:r w:rsidRPr="005F3228">
        <w:rPr>
          <w:rFonts w:ascii="David" w:hAnsi="David" w:cs="David"/>
          <w:b/>
          <w:bCs/>
          <w:rtl/>
        </w:rPr>
        <w:t xml:space="preserve">. תכשיטים בע"מ </w:t>
      </w:r>
      <w:r w:rsidRPr="005F3228">
        <w:rPr>
          <w:rFonts w:ascii="David" w:hAnsi="David" w:cs="David"/>
          <w:rtl/>
        </w:rPr>
        <w:t xml:space="preserve">(2010) (להלן: "עניין </w:t>
      </w:r>
      <w:proofErr w:type="spellStart"/>
      <w:r w:rsidRPr="005F3228">
        <w:rPr>
          <w:rFonts w:ascii="David" w:hAnsi="David" w:cs="David"/>
          <w:b/>
          <w:bCs/>
          <w:rtl/>
        </w:rPr>
        <w:t>סימנדה</w:t>
      </w:r>
      <w:proofErr w:type="spellEnd"/>
      <w:r w:rsidRPr="005F3228">
        <w:rPr>
          <w:rFonts w:ascii="David" w:hAnsi="David" w:cs="David"/>
          <w:rtl/>
        </w:rPr>
        <w:t>").</w:t>
      </w:r>
    </w:p>
  </w:footnote>
  <w:footnote w:id="93">
    <w:p w14:paraId="1DC8BA26"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בש"א (מחוזי ת"א) 26065/01 </w:t>
      </w:r>
      <w:r w:rsidRPr="005F3228">
        <w:rPr>
          <w:rFonts w:ascii="David" w:hAnsi="David" w:cs="David"/>
          <w:b/>
          <w:bCs/>
          <w:rtl/>
        </w:rPr>
        <w:t xml:space="preserve">הצורפים בע"מ נ' </w:t>
      </w:r>
      <w:proofErr w:type="spellStart"/>
      <w:r w:rsidRPr="005F3228">
        <w:rPr>
          <w:rFonts w:ascii="David" w:hAnsi="David" w:cs="David"/>
          <w:b/>
          <w:bCs/>
          <w:rtl/>
        </w:rPr>
        <w:t>איכבוים</w:t>
      </w:r>
      <w:proofErr w:type="spellEnd"/>
      <w:r w:rsidRPr="005F3228">
        <w:rPr>
          <w:rFonts w:ascii="David" w:hAnsi="David" w:cs="David"/>
          <w:b/>
          <w:bCs/>
          <w:rtl/>
        </w:rPr>
        <w:t xml:space="preserve"> תעשיות כסף</w:t>
      </w:r>
      <w:r w:rsidRPr="005F3228">
        <w:rPr>
          <w:rFonts w:ascii="David" w:hAnsi="David" w:cs="David"/>
          <w:rtl/>
        </w:rPr>
        <w:t xml:space="preserve"> (2002); ת"א (מחוזי מרכז) 36177-01-11 </w:t>
      </w:r>
      <w:r w:rsidRPr="005F3228">
        <w:rPr>
          <w:rFonts w:ascii="David" w:hAnsi="David" w:cs="David"/>
          <w:b/>
          <w:bCs/>
          <w:rtl/>
        </w:rPr>
        <w:t xml:space="preserve">חנינה נ' י.ל. יבוא ויצוא רחובות (2002) בע"מ </w:t>
      </w:r>
      <w:r w:rsidRPr="005F3228">
        <w:rPr>
          <w:rFonts w:ascii="David" w:hAnsi="David" w:cs="David"/>
          <w:rtl/>
        </w:rPr>
        <w:t>(2012).</w:t>
      </w:r>
    </w:p>
  </w:footnote>
  <w:footnote w:id="94">
    <w:p w14:paraId="3899F5EF"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ת"א (מחוזי ת"א) 1097/96 </w:t>
      </w:r>
      <w:r w:rsidRPr="005F3228">
        <w:rPr>
          <w:rFonts w:ascii="David" w:hAnsi="David" w:cs="David"/>
          <w:b/>
          <w:bCs/>
          <w:rtl/>
        </w:rPr>
        <w:t>רהיטי סער נ' שבב</w:t>
      </w:r>
      <w:r w:rsidRPr="005F3228">
        <w:rPr>
          <w:rFonts w:ascii="David" w:hAnsi="David" w:cs="David"/>
          <w:rtl/>
        </w:rPr>
        <w:t xml:space="preserve"> (1999); ת"א (מחוזי ת"א) 17647/01 </w:t>
      </w:r>
      <w:proofErr w:type="spellStart"/>
      <w:r w:rsidRPr="005F3228">
        <w:rPr>
          <w:rFonts w:ascii="David" w:hAnsi="David" w:cs="David"/>
          <w:b/>
          <w:bCs/>
          <w:rtl/>
        </w:rPr>
        <w:t>רמטקס</w:t>
      </w:r>
      <w:proofErr w:type="spellEnd"/>
      <w:r w:rsidRPr="005F3228">
        <w:rPr>
          <w:rFonts w:ascii="David" w:hAnsi="David" w:cs="David"/>
          <w:b/>
          <w:bCs/>
          <w:rtl/>
        </w:rPr>
        <w:t xml:space="preserve"> נ' </w:t>
      </w:r>
      <w:proofErr w:type="spellStart"/>
      <w:r w:rsidRPr="005F3228">
        <w:rPr>
          <w:rFonts w:ascii="David" w:hAnsi="David" w:cs="David"/>
          <w:b/>
          <w:bCs/>
          <w:rtl/>
        </w:rPr>
        <w:t>ארוטקס</w:t>
      </w:r>
      <w:proofErr w:type="spellEnd"/>
      <w:r w:rsidRPr="005F3228">
        <w:rPr>
          <w:rFonts w:ascii="David" w:hAnsi="David" w:cs="David"/>
          <w:rtl/>
        </w:rPr>
        <w:t xml:space="preserve"> (2002).</w:t>
      </w:r>
    </w:p>
  </w:footnote>
  <w:footnote w:id="95">
    <w:p w14:paraId="057C9929"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ת"א (מחוזי חיפה) 671/05 </w:t>
      </w:r>
      <w:proofErr w:type="spellStart"/>
      <w:r w:rsidRPr="005F3228">
        <w:rPr>
          <w:rFonts w:ascii="David" w:hAnsi="David" w:cs="David"/>
          <w:b/>
          <w:bCs/>
          <w:rtl/>
        </w:rPr>
        <w:t>סובחי</w:t>
      </w:r>
      <w:proofErr w:type="spellEnd"/>
      <w:r w:rsidRPr="005F3228">
        <w:rPr>
          <w:rFonts w:ascii="David" w:hAnsi="David" w:cs="David"/>
          <w:b/>
          <w:bCs/>
          <w:rtl/>
        </w:rPr>
        <w:t xml:space="preserve"> נחלה נ' שיווק קפה </w:t>
      </w:r>
      <w:proofErr w:type="spellStart"/>
      <w:r w:rsidRPr="005F3228">
        <w:rPr>
          <w:rFonts w:ascii="David" w:hAnsi="David" w:cs="David"/>
          <w:b/>
          <w:bCs/>
          <w:rtl/>
        </w:rPr>
        <w:t>אלמוכאר</w:t>
      </w:r>
      <w:proofErr w:type="spellEnd"/>
      <w:r w:rsidRPr="005F3228">
        <w:rPr>
          <w:rFonts w:ascii="David" w:hAnsi="David" w:cs="David"/>
          <w:b/>
          <w:bCs/>
          <w:rtl/>
        </w:rPr>
        <w:t xml:space="preserve"> </w:t>
      </w:r>
      <w:r w:rsidRPr="005F3228">
        <w:rPr>
          <w:rFonts w:ascii="David" w:hAnsi="David" w:cs="David"/>
          <w:rtl/>
        </w:rPr>
        <w:t xml:space="preserve">(צנצנת תבלינים) (2016) ("עניין </w:t>
      </w:r>
      <w:proofErr w:type="spellStart"/>
      <w:r w:rsidRPr="005F3228">
        <w:rPr>
          <w:rFonts w:ascii="David" w:hAnsi="David" w:cs="David"/>
          <w:b/>
          <w:bCs/>
          <w:rtl/>
        </w:rPr>
        <w:t>סובחי</w:t>
      </w:r>
      <w:proofErr w:type="spellEnd"/>
      <w:r w:rsidRPr="005F3228">
        <w:rPr>
          <w:rFonts w:ascii="David" w:hAnsi="David" w:cs="David"/>
          <w:b/>
          <w:bCs/>
          <w:rtl/>
        </w:rPr>
        <w:t xml:space="preserve"> נחלה</w:t>
      </w:r>
      <w:r w:rsidRPr="005F3228">
        <w:rPr>
          <w:rFonts w:ascii="David" w:hAnsi="David" w:cs="David"/>
          <w:rtl/>
        </w:rPr>
        <w:t xml:space="preserve">"); ת"א (מחוזי ת"א) 50353-03-18 </w:t>
      </w:r>
      <w:r w:rsidRPr="005F3228">
        <w:rPr>
          <w:rFonts w:ascii="David" w:hAnsi="David" w:cs="David"/>
          <w:b/>
          <w:bCs/>
          <w:rtl/>
        </w:rPr>
        <w:t>בלדי בע"מ נ' רשת חנויות רמי לוי</w:t>
      </w:r>
      <w:r w:rsidRPr="005F3228">
        <w:rPr>
          <w:rFonts w:ascii="David" w:hAnsi="David" w:cs="David"/>
          <w:rtl/>
        </w:rPr>
        <w:t xml:space="preserve"> (2018) ("עניין </w:t>
      </w:r>
      <w:r w:rsidRPr="005F3228">
        <w:rPr>
          <w:rFonts w:ascii="David" w:hAnsi="David" w:cs="David"/>
          <w:b/>
          <w:bCs/>
          <w:rtl/>
        </w:rPr>
        <w:t>בלדי</w:t>
      </w:r>
      <w:r w:rsidRPr="005F3228">
        <w:rPr>
          <w:rFonts w:ascii="David" w:hAnsi="David" w:cs="David"/>
          <w:rtl/>
        </w:rPr>
        <w:t xml:space="preserve">") (אריזה של מוצרי בשר); ת"א (ת"א) 1561/03 </w:t>
      </w:r>
      <w:proofErr w:type="spellStart"/>
      <w:r w:rsidRPr="005F3228">
        <w:rPr>
          <w:rFonts w:ascii="David" w:hAnsi="David" w:cs="David"/>
          <w:b/>
          <w:bCs/>
          <w:rtl/>
        </w:rPr>
        <w:t>פלסטו</w:t>
      </w:r>
      <w:proofErr w:type="spellEnd"/>
      <w:r w:rsidRPr="005F3228">
        <w:rPr>
          <w:rFonts w:ascii="David" w:hAnsi="David" w:cs="David"/>
          <w:b/>
          <w:bCs/>
          <w:rtl/>
        </w:rPr>
        <w:t>-ווק (1990) נ' מ.א.ג. לפלסטיק</w:t>
      </w:r>
      <w:r w:rsidRPr="005F3228">
        <w:rPr>
          <w:rFonts w:ascii="David" w:hAnsi="David" w:cs="David"/>
          <w:rtl/>
        </w:rPr>
        <w:t xml:space="preserve"> (2008) (מיכל פלסטיק חד-פעמי לאריזת מזון).</w:t>
      </w:r>
    </w:p>
  </w:footnote>
  <w:footnote w:id="96">
    <w:p w14:paraId="180C6A60" w14:textId="77777777" w:rsidR="00F06EA1" w:rsidRPr="005F3228" w:rsidRDefault="00F06EA1" w:rsidP="000D19A0">
      <w:pPr>
        <w:spacing w:after="0"/>
        <w:ind w:left="26"/>
        <w:jc w:val="both"/>
        <w:rPr>
          <w:rFonts w:ascii="David" w:hAnsi="David" w:cs="David"/>
          <w:sz w:val="20"/>
          <w:szCs w:val="20"/>
        </w:rPr>
      </w:pPr>
      <w:r w:rsidRPr="005F3228">
        <w:rPr>
          <w:rStyle w:val="FootnoteReference"/>
          <w:rFonts w:ascii="David" w:hAnsi="David" w:cs="David"/>
          <w:sz w:val="20"/>
          <w:szCs w:val="20"/>
        </w:rPr>
        <w:footnoteRef/>
      </w:r>
      <w:r w:rsidRPr="005F3228">
        <w:rPr>
          <w:rFonts w:ascii="David" w:hAnsi="David" w:cs="David"/>
          <w:sz w:val="20"/>
          <w:szCs w:val="20"/>
          <w:rtl/>
        </w:rPr>
        <w:t xml:space="preserve"> ת"א (מחוזי מרכז) 16634-07-16 </w:t>
      </w:r>
      <w:proofErr w:type="spellStart"/>
      <w:r w:rsidRPr="005F3228">
        <w:rPr>
          <w:rFonts w:ascii="David" w:hAnsi="David" w:cs="David"/>
          <w:b/>
          <w:bCs/>
          <w:sz w:val="20"/>
          <w:szCs w:val="20"/>
          <w:rtl/>
        </w:rPr>
        <w:t>מאסיב</w:t>
      </w:r>
      <w:proofErr w:type="spellEnd"/>
      <w:r w:rsidRPr="005F3228">
        <w:rPr>
          <w:rFonts w:ascii="David" w:hAnsi="David" w:cs="David"/>
          <w:b/>
          <w:bCs/>
          <w:sz w:val="20"/>
          <w:szCs w:val="20"/>
          <w:rtl/>
        </w:rPr>
        <w:t xml:space="preserve"> תקשורת נ' </w:t>
      </w:r>
      <w:proofErr w:type="spellStart"/>
      <w:r w:rsidRPr="005F3228">
        <w:rPr>
          <w:rFonts w:ascii="David" w:hAnsi="David" w:cs="David"/>
          <w:b/>
          <w:bCs/>
          <w:sz w:val="20"/>
          <w:szCs w:val="20"/>
          <w:rtl/>
        </w:rPr>
        <w:t>פריגונזין</w:t>
      </w:r>
      <w:proofErr w:type="spellEnd"/>
      <w:r w:rsidRPr="005F3228">
        <w:rPr>
          <w:rFonts w:ascii="David" w:hAnsi="David" w:cs="David"/>
          <w:b/>
          <w:bCs/>
          <w:sz w:val="20"/>
          <w:szCs w:val="20"/>
          <w:rtl/>
        </w:rPr>
        <w:t xml:space="preserve"> </w:t>
      </w:r>
      <w:r w:rsidRPr="005F3228">
        <w:rPr>
          <w:rFonts w:ascii="David" w:hAnsi="David" w:cs="David"/>
          <w:sz w:val="20"/>
          <w:szCs w:val="20"/>
          <w:rtl/>
        </w:rPr>
        <w:t xml:space="preserve">(2016) ("עניין </w:t>
      </w:r>
      <w:proofErr w:type="spellStart"/>
      <w:r w:rsidRPr="005F3228">
        <w:rPr>
          <w:rFonts w:ascii="David" w:hAnsi="David" w:cs="David"/>
          <w:b/>
          <w:bCs/>
          <w:sz w:val="20"/>
          <w:szCs w:val="20"/>
          <w:rtl/>
        </w:rPr>
        <w:t>מאסיב</w:t>
      </w:r>
      <w:proofErr w:type="spellEnd"/>
      <w:r w:rsidRPr="005F3228">
        <w:rPr>
          <w:rFonts w:ascii="David" w:hAnsi="David" w:cs="David"/>
          <w:b/>
          <w:bCs/>
          <w:sz w:val="20"/>
          <w:szCs w:val="20"/>
          <w:rtl/>
        </w:rPr>
        <w:t xml:space="preserve"> תקשורת</w:t>
      </w:r>
      <w:r w:rsidRPr="005F3228">
        <w:rPr>
          <w:rFonts w:ascii="David" w:hAnsi="David" w:cs="David"/>
          <w:sz w:val="20"/>
          <w:szCs w:val="20"/>
          <w:rtl/>
        </w:rPr>
        <w:t xml:space="preserve">") (נבהיר שגם את פסק הדין הזה סיווגנו כ"דמוי </w:t>
      </w:r>
      <w:proofErr w:type="spellStart"/>
      <w:r w:rsidRPr="005F3228">
        <w:rPr>
          <w:rFonts w:ascii="David" w:hAnsi="David" w:cs="David"/>
          <w:sz w:val="20"/>
          <w:szCs w:val="20"/>
          <w:rtl/>
        </w:rPr>
        <w:t>א.ש.י.ר</w:t>
      </w:r>
      <w:proofErr w:type="spellEnd"/>
      <w:r w:rsidRPr="005F3228">
        <w:rPr>
          <w:rFonts w:ascii="David" w:hAnsi="David" w:cs="David"/>
          <w:sz w:val="20"/>
          <w:szCs w:val="20"/>
          <w:rtl/>
        </w:rPr>
        <w:t xml:space="preserve">.", מתוך גישה זהירה, על אף שהעילה בעשיית עושר לא נגעה במישרין למעשה החיקוי).  </w:t>
      </w:r>
    </w:p>
  </w:footnote>
  <w:footnote w:id="97">
    <w:p w14:paraId="2F59AC5C"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בעניין </w:t>
      </w:r>
      <w:proofErr w:type="spellStart"/>
      <w:r w:rsidRPr="005F3228">
        <w:rPr>
          <w:rFonts w:ascii="David" w:hAnsi="David" w:cs="David"/>
          <w:b/>
          <w:bCs/>
          <w:rtl/>
        </w:rPr>
        <w:t>א.ש.י.ר</w:t>
      </w:r>
      <w:proofErr w:type="spellEnd"/>
      <w:r w:rsidRPr="005F3228">
        <w:rPr>
          <w:rFonts w:ascii="David" w:hAnsi="David" w:cs="David"/>
          <w:b/>
          <w:bCs/>
          <w:rtl/>
        </w:rPr>
        <w:t>. יבוא יצור והפצה נ' פורום אביזרים ומוצרי צריכה בע"מ</w:t>
      </w:r>
      <w:r w:rsidRPr="005F3228">
        <w:rPr>
          <w:rFonts w:ascii="David" w:hAnsi="David" w:cs="David"/>
          <w:rtl/>
        </w:rPr>
        <w:t xml:space="preserve"> הועתק עיצובם של אביזרי אמבטיה מפלסטיק, ובעניין </w:t>
      </w:r>
      <w:r w:rsidRPr="005F3228">
        <w:rPr>
          <w:rFonts w:ascii="David" w:hAnsi="David" w:cs="David"/>
          <w:b/>
          <w:bCs/>
          <w:rtl/>
        </w:rPr>
        <w:t>הרר נ' שוהם מכונות ומבלטים בע"מ</w:t>
      </w:r>
      <w:r w:rsidRPr="005F3228">
        <w:rPr>
          <w:rFonts w:ascii="David" w:hAnsi="David" w:cs="David"/>
          <w:rtl/>
        </w:rPr>
        <w:t xml:space="preserve"> הועתק עיצובו של מבלט המשמש כציוד לעיבוד ולחיתוך אלומיניום. </w:t>
      </w:r>
    </w:p>
  </w:footnote>
  <w:footnote w:id="98">
    <w:p w14:paraId="1E3603D7" w14:textId="39CE9785"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חוק העיצובים, </w:t>
      </w:r>
      <w:r w:rsidRPr="005F3228">
        <w:rPr>
          <w:rFonts w:ascii="David" w:hAnsi="David" w:cs="David"/>
          <w:b/>
          <w:bCs/>
          <w:rtl/>
        </w:rPr>
        <w:t xml:space="preserve">לעיל </w:t>
      </w:r>
      <w:r w:rsidRPr="005F3228">
        <w:rPr>
          <w:rFonts w:ascii="David" w:hAnsi="David" w:cs="David"/>
          <w:rtl/>
        </w:rPr>
        <w:t xml:space="preserve">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Ref28465732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15</w:t>
      </w:r>
      <w:r w:rsidRPr="005F3228">
        <w:rPr>
          <w:rFonts w:ascii="David" w:hAnsi="David" w:cs="David"/>
          <w:rtl/>
        </w:rPr>
        <w:fldChar w:fldCharType="end"/>
      </w:r>
      <w:r w:rsidRPr="005F3228">
        <w:rPr>
          <w:rFonts w:ascii="David" w:hAnsi="David" w:cs="David"/>
          <w:rtl/>
        </w:rPr>
        <w:t xml:space="preserve">. </w:t>
      </w:r>
    </w:p>
  </w:footnote>
  <w:footnote w:id="99">
    <w:p w14:paraId="193E0E59"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ראוי לציין, בהקשר זה, כי הגנת זכות היוצרים לא חלה ביחס לעיצובים אלא אם הם אינם משמשים ואינם מכוונים לשמש לייצור תעשייתי. ראו סעיף 7 לחוק זכות יוצרים, התשס"ח-2007.    </w:t>
      </w:r>
    </w:p>
  </w:footnote>
  <w:footnote w:id="100">
    <w:p w14:paraId="7CB92B7E" w14:textId="6507AAF4" w:rsidR="00F06EA1" w:rsidRPr="005F3228" w:rsidRDefault="00F06EA1" w:rsidP="000D19A0">
      <w:pPr>
        <w:spacing w:after="0"/>
        <w:jc w:val="both"/>
        <w:rPr>
          <w:rFonts w:ascii="David" w:hAnsi="David" w:cs="David"/>
          <w:sz w:val="20"/>
          <w:szCs w:val="20"/>
          <w:rtl/>
        </w:rPr>
      </w:pPr>
      <w:r w:rsidRPr="005F3228">
        <w:rPr>
          <w:rStyle w:val="FootnoteReference"/>
          <w:rFonts w:ascii="David" w:hAnsi="David" w:cs="David"/>
          <w:sz w:val="20"/>
          <w:szCs w:val="20"/>
        </w:rPr>
        <w:footnoteRef/>
      </w:r>
      <w:r w:rsidRPr="005F3228">
        <w:rPr>
          <w:rFonts w:ascii="David" w:hAnsi="David" w:cs="David"/>
          <w:sz w:val="20"/>
          <w:szCs w:val="20"/>
          <w:rtl/>
        </w:rPr>
        <w:t xml:space="preserve"> </w:t>
      </w:r>
      <w:r w:rsidRPr="005F3228">
        <w:rPr>
          <w:rFonts w:ascii="David" w:eastAsia="David" w:hAnsi="David" w:cs="David"/>
          <w:sz w:val="20"/>
          <w:szCs w:val="20"/>
          <w:rtl/>
          <w:lang w:val="he-IL"/>
        </w:rPr>
        <w:t xml:space="preserve">כך, למשל, נאמר בהקשר זה בעניין </w:t>
      </w:r>
      <w:proofErr w:type="spellStart"/>
      <w:r w:rsidRPr="005F3228">
        <w:rPr>
          <w:rFonts w:ascii="David" w:eastAsia="David" w:hAnsi="David" w:cs="David"/>
          <w:b/>
          <w:bCs/>
          <w:sz w:val="20"/>
          <w:szCs w:val="20"/>
          <w:rtl/>
          <w:lang w:val="he-IL"/>
        </w:rPr>
        <w:t>סימנדה</w:t>
      </w:r>
      <w:proofErr w:type="spellEnd"/>
      <w:r w:rsidRPr="005F3228">
        <w:rPr>
          <w:rFonts w:ascii="David" w:eastAsia="David" w:hAnsi="David" w:cs="David"/>
          <w:sz w:val="20"/>
          <w:szCs w:val="20"/>
          <w:rtl/>
          <w:lang w:val="he-IL"/>
        </w:rPr>
        <w:t xml:space="preserve">, </w:t>
      </w:r>
      <w:r w:rsidRPr="005F3228">
        <w:rPr>
          <w:rFonts w:ascii="David" w:eastAsia="David" w:hAnsi="David" w:cs="David"/>
          <w:b/>
          <w:bCs/>
          <w:sz w:val="20"/>
          <w:szCs w:val="20"/>
          <w:rtl/>
          <w:lang w:val="he-IL"/>
        </w:rPr>
        <w:t>לעיל</w:t>
      </w:r>
      <w:r w:rsidRPr="005F3228">
        <w:rPr>
          <w:rFonts w:ascii="David" w:eastAsia="David" w:hAnsi="David" w:cs="David"/>
          <w:sz w:val="20"/>
          <w:szCs w:val="20"/>
          <w:rtl/>
          <w:lang w:val="he-IL"/>
        </w:rPr>
        <w:t xml:space="preserve"> הערה </w:t>
      </w:r>
      <w:r w:rsidRPr="005F3228">
        <w:rPr>
          <w:rFonts w:ascii="David" w:eastAsia="David" w:hAnsi="David" w:cs="David"/>
          <w:sz w:val="20"/>
          <w:szCs w:val="20"/>
          <w:rtl/>
          <w:lang w:val="he-IL"/>
        </w:rPr>
        <w:fldChar w:fldCharType="begin"/>
      </w:r>
      <w:r w:rsidRPr="005F3228">
        <w:rPr>
          <w:rFonts w:ascii="David" w:eastAsia="David" w:hAnsi="David" w:cs="David"/>
          <w:sz w:val="20"/>
          <w:szCs w:val="20"/>
          <w:rtl/>
          <w:lang w:val="he-IL"/>
        </w:rPr>
        <w:instrText xml:space="preserve"> NOTEREF _Ref28465927 \h  \* MERGEFORMAT </w:instrText>
      </w:r>
      <w:r w:rsidRPr="005F3228">
        <w:rPr>
          <w:rFonts w:ascii="David" w:eastAsia="David" w:hAnsi="David" w:cs="David"/>
          <w:sz w:val="20"/>
          <w:szCs w:val="20"/>
          <w:rtl/>
          <w:lang w:val="he-IL"/>
        </w:rPr>
      </w:r>
      <w:r w:rsidRPr="005F3228">
        <w:rPr>
          <w:rFonts w:ascii="David" w:eastAsia="David" w:hAnsi="David" w:cs="David"/>
          <w:sz w:val="20"/>
          <w:szCs w:val="20"/>
          <w:rtl/>
          <w:lang w:val="he-IL"/>
        </w:rPr>
        <w:fldChar w:fldCharType="separate"/>
      </w:r>
      <w:r w:rsidRPr="005F3228">
        <w:rPr>
          <w:rFonts w:ascii="David" w:eastAsia="David" w:hAnsi="David" w:cs="David"/>
          <w:sz w:val="20"/>
          <w:szCs w:val="20"/>
          <w:rtl/>
          <w:lang w:val="he-IL"/>
        </w:rPr>
        <w:t>90</w:t>
      </w:r>
      <w:r w:rsidRPr="005F3228">
        <w:rPr>
          <w:rFonts w:ascii="David" w:eastAsia="David" w:hAnsi="David" w:cs="David"/>
          <w:sz w:val="20"/>
          <w:szCs w:val="20"/>
          <w:rtl/>
          <w:lang w:val="he-IL"/>
        </w:rPr>
        <w:fldChar w:fldCharType="end"/>
      </w:r>
      <w:r w:rsidRPr="005F3228">
        <w:rPr>
          <w:rFonts w:ascii="David" w:eastAsia="David" w:hAnsi="David" w:cs="David"/>
          <w:sz w:val="20"/>
          <w:szCs w:val="20"/>
          <w:rtl/>
          <w:lang w:val="he-IL"/>
        </w:rPr>
        <w:t xml:space="preserve">: "העובדה שהתובעים לא רשמו מדגם על התכשיטים אינה צריכה לעמוד להם לרועץ. כפי שהבהירו התובעים, מדובר בתכשיטי כסף שעיצובם משתנה חדשות לבקרים, בהיותם תכשיטים אופנתיים שאינם יקרים במיוחד ... בנוסף, מדובר בכמות גדולה מאוד של תכשיטים (כ- 100 פריטים), שכל אחד מהם עשוי להירשם כמדגם בפני עצמו. אין זה מעשי לרשום עשרות ואף מאות מדגמים לתכשיטים שעיצובם משתנה מעת לעת. במקרה מסוג זה, אי-רישום מדגם - אין פירושו מתן חופש להעתקת יצירותיו ורעיונותיו של היוצר.".  </w:t>
      </w:r>
    </w:p>
  </w:footnote>
  <w:footnote w:id="101">
    <w:p w14:paraId="66C685B2" w14:textId="3C015FE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ראו, למשל, עניין </w:t>
      </w:r>
      <w:proofErr w:type="spellStart"/>
      <w:r w:rsidRPr="005F3228">
        <w:rPr>
          <w:rFonts w:ascii="David" w:hAnsi="David" w:cs="David"/>
          <w:b/>
          <w:bCs/>
          <w:rtl/>
        </w:rPr>
        <w:t>מאסיב</w:t>
      </w:r>
      <w:proofErr w:type="spellEnd"/>
      <w:r w:rsidRPr="005F3228">
        <w:rPr>
          <w:rFonts w:ascii="David" w:hAnsi="David" w:cs="David"/>
          <w:b/>
          <w:bCs/>
          <w:rtl/>
        </w:rPr>
        <w:t xml:space="preserve"> תקשורת</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Ref28466044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94</w:t>
      </w:r>
      <w:r w:rsidRPr="005F3228">
        <w:rPr>
          <w:rFonts w:ascii="David" w:hAnsi="David" w:cs="David"/>
          <w:rtl/>
        </w:rPr>
        <w:fldChar w:fldCharType="end"/>
      </w:r>
      <w:r w:rsidRPr="005F3228">
        <w:rPr>
          <w:rFonts w:ascii="David" w:hAnsi="David" w:cs="David"/>
          <w:rtl/>
        </w:rPr>
        <w:t xml:space="preserve">; עניין </w:t>
      </w:r>
      <w:proofErr w:type="spellStart"/>
      <w:r w:rsidRPr="005F3228">
        <w:rPr>
          <w:rFonts w:ascii="David" w:hAnsi="David" w:cs="David"/>
          <w:b/>
          <w:bCs/>
          <w:rtl/>
        </w:rPr>
        <w:t>סימנדה</w:t>
      </w:r>
      <w:proofErr w:type="spellEnd"/>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eastAsia="David" w:hAnsi="David" w:cs="David"/>
          <w:rtl/>
          <w:lang w:val="he-IL"/>
        </w:rPr>
        <w:fldChar w:fldCharType="begin"/>
      </w:r>
      <w:r w:rsidRPr="005F3228">
        <w:rPr>
          <w:rFonts w:ascii="David" w:eastAsia="David" w:hAnsi="David" w:cs="David"/>
          <w:rtl/>
          <w:lang w:val="he-IL"/>
        </w:rPr>
        <w:instrText xml:space="preserve"> NOTEREF _Ref28465927 \h  \* MERGEFORMAT </w:instrText>
      </w:r>
      <w:r w:rsidRPr="005F3228">
        <w:rPr>
          <w:rFonts w:ascii="David" w:eastAsia="David" w:hAnsi="David" w:cs="David"/>
          <w:rtl/>
          <w:lang w:val="he-IL"/>
        </w:rPr>
      </w:r>
      <w:r w:rsidRPr="005F3228">
        <w:rPr>
          <w:rFonts w:ascii="David" w:eastAsia="David" w:hAnsi="David" w:cs="David"/>
          <w:rtl/>
          <w:lang w:val="he-IL"/>
        </w:rPr>
        <w:fldChar w:fldCharType="separate"/>
      </w:r>
      <w:r w:rsidRPr="005F3228">
        <w:rPr>
          <w:rFonts w:ascii="David" w:eastAsia="David" w:hAnsi="David" w:cs="David"/>
          <w:rtl/>
          <w:lang w:val="he-IL"/>
        </w:rPr>
        <w:t>90</w:t>
      </w:r>
      <w:r w:rsidRPr="005F3228">
        <w:rPr>
          <w:rFonts w:ascii="David" w:eastAsia="David" w:hAnsi="David" w:cs="David"/>
          <w:rtl/>
          <w:lang w:val="he-IL"/>
        </w:rPr>
        <w:fldChar w:fldCharType="end"/>
      </w:r>
      <w:r w:rsidRPr="005F3228">
        <w:rPr>
          <w:rFonts w:ascii="David" w:hAnsi="David" w:cs="David"/>
          <w:rtl/>
        </w:rPr>
        <w:t xml:space="preserve">; עניין </w:t>
      </w:r>
      <w:proofErr w:type="spellStart"/>
      <w:r w:rsidRPr="005F3228">
        <w:rPr>
          <w:rFonts w:ascii="David" w:hAnsi="David" w:cs="David"/>
          <w:b/>
          <w:bCs/>
          <w:rtl/>
        </w:rPr>
        <w:t>קלוגן</w:t>
      </w:r>
      <w:proofErr w:type="spellEnd"/>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Ref28466019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89</w:t>
      </w:r>
      <w:r w:rsidRPr="005F3228">
        <w:rPr>
          <w:rFonts w:ascii="David" w:hAnsi="David" w:cs="David"/>
          <w:rtl/>
        </w:rPr>
        <w:fldChar w:fldCharType="end"/>
      </w:r>
      <w:r w:rsidRPr="005F3228">
        <w:rPr>
          <w:rFonts w:ascii="David" w:hAnsi="David" w:cs="David"/>
          <w:rtl/>
        </w:rPr>
        <w:t xml:space="preserve">; עניין </w:t>
      </w:r>
      <w:r w:rsidRPr="005F3228">
        <w:rPr>
          <w:rFonts w:ascii="David" w:hAnsi="David" w:cs="David"/>
          <w:b/>
          <w:bCs/>
          <w:rtl/>
        </w:rPr>
        <w:t>בלדי</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Ref28465980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93</w:t>
      </w:r>
      <w:r w:rsidRPr="005F3228">
        <w:rPr>
          <w:rFonts w:ascii="David" w:hAnsi="David" w:cs="David"/>
          <w:rtl/>
        </w:rPr>
        <w:fldChar w:fldCharType="end"/>
      </w:r>
      <w:r w:rsidRPr="005F3228">
        <w:rPr>
          <w:rFonts w:ascii="David" w:hAnsi="David" w:cs="David"/>
          <w:rtl/>
        </w:rPr>
        <w:t xml:space="preserve">. </w:t>
      </w:r>
    </w:p>
  </w:footnote>
  <w:footnote w:id="102">
    <w:p w14:paraId="6903E07E" w14:textId="53E71C4D"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עניין </w:t>
      </w:r>
      <w:proofErr w:type="spellStart"/>
      <w:r w:rsidRPr="005F3228">
        <w:rPr>
          <w:rFonts w:ascii="David" w:hAnsi="David" w:cs="David"/>
          <w:b/>
          <w:bCs/>
          <w:rtl/>
        </w:rPr>
        <w:t>סובחי</w:t>
      </w:r>
      <w:proofErr w:type="spellEnd"/>
      <w:r w:rsidRPr="005F3228">
        <w:rPr>
          <w:rFonts w:ascii="David" w:hAnsi="David" w:cs="David"/>
          <w:b/>
          <w:bCs/>
          <w:rtl/>
        </w:rPr>
        <w:t xml:space="preserve"> נחלה</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Ref28465980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93</w:t>
      </w:r>
      <w:r w:rsidRPr="005F3228">
        <w:rPr>
          <w:rFonts w:ascii="David" w:hAnsi="David" w:cs="David"/>
          <w:rtl/>
        </w:rPr>
        <w:fldChar w:fldCharType="end"/>
      </w:r>
      <w:r w:rsidRPr="005F3228">
        <w:rPr>
          <w:rFonts w:ascii="David" w:hAnsi="David" w:cs="David"/>
          <w:rtl/>
        </w:rPr>
        <w:t xml:space="preserve">; עניין </w:t>
      </w:r>
      <w:r w:rsidRPr="005F3228">
        <w:rPr>
          <w:rFonts w:ascii="David" w:hAnsi="David" w:cs="David"/>
          <w:b/>
          <w:bCs/>
          <w:rtl/>
        </w:rPr>
        <w:t>בלדי</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Ref28465980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93</w:t>
      </w:r>
      <w:r w:rsidRPr="005F3228">
        <w:rPr>
          <w:rFonts w:ascii="David" w:hAnsi="David" w:cs="David"/>
          <w:rtl/>
        </w:rPr>
        <w:fldChar w:fldCharType="end"/>
      </w:r>
      <w:r w:rsidRPr="005F3228">
        <w:rPr>
          <w:rFonts w:ascii="David" w:hAnsi="David" w:cs="David"/>
          <w:rtl/>
        </w:rPr>
        <w:t>..</w:t>
      </w:r>
    </w:p>
  </w:footnote>
  <w:footnote w:id="103">
    <w:p w14:paraId="54C83204" w14:textId="76E36455"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לחשש שהובע בהקשר זה, ראו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Ref28466108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41</w:t>
      </w:r>
      <w:r w:rsidRPr="005F3228">
        <w:rPr>
          <w:rFonts w:ascii="David" w:hAnsi="David" w:cs="David"/>
          <w:rtl/>
        </w:rPr>
        <w:fldChar w:fldCharType="end"/>
      </w:r>
      <w:r w:rsidRPr="005F3228">
        <w:rPr>
          <w:rFonts w:ascii="David" w:hAnsi="David" w:cs="David"/>
          <w:rtl/>
        </w:rPr>
        <w:t xml:space="preserve"> והטקסט לידה.</w:t>
      </w:r>
    </w:p>
  </w:footnote>
  <w:footnote w:id="104">
    <w:p w14:paraId="1F33A10A" w14:textId="1B705D65"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עניין </w:t>
      </w:r>
      <w:proofErr w:type="spellStart"/>
      <w:r w:rsidRPr="005F3228">
        <w:rPr>
          <w:rFonts w:ascii="David" w:hAnsi="David" w:cs="David"/>
          <w:b/>
          <w:bCs/>
          <w:rtl/>
        </w:rPr>
        <w:t>א.ש.י.ר</w:t>
      </w:r>
      <w:proofErr w:type="spellEnd"/>
      <w:r w:rsidRPr="005F3228">
        <w:rPr>
          <w:rFonts w:ascii="David" w:hAnsi="David" w:cs="David"/>
          <w:b/>
          <w:bCs/>
          <w:rtl/>
        </w:rPr>
        <w:t>.</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Ref27910357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w:t>
      </w:r>
      <w:r w:rsidRPr="005F3228">
        <w:rPr>
          <w:rFonts w:ascii="David" w:hAnsi="David" w:cs="David"/>
          <w:rtl/>
        </w:rPr>
        <w:fldChar w:fldCharType="end"/>
      </w:r>
      <w:r w:rsidRPr="005F3228">
        <w:rPr>
          <w:rFonts w:ascii="David" w:hAnsi="David" w:cs="David"/>
          <w:rtl/>
        </w:rPr>
        <w:t xml:space="preserve">, בעמ' 433. </w:t>
      </w:r>
    </w:p>
  </w:footnote>
  <w:footnote w:id="105">
    <w:p w14:paraId="1AB5D174" w14:textId="7AF54DD9"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סעיף 4 לחוק העיצובים, </w:t>
      </w:r>
      <w:r w:rsidRPr="005F3228">
        <w:rPr>
          <w:rFonts w:ascii="David" w:hAnsi="David" w:cs="David"/>
          <w:b/>
          <w:bCs/>
          <w:rtl/>
        </w:rPr>
        <w:t xml:space="preserve">לעיל </w:t>
      </w:r>
      <w:r w:rsidRPr="005F3228">
        <w:rPr>
          <w:rFonts w:ascii="David" w:hAnsi="David" w:cs="David"/>
          <w:rtl/>
        </w:rPr>
        <w:t xml:space="preserve">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Ref28465732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15</w:t>
      </w:r>
      <w:r w:rsidRPr="005F3228">
        <w:rPr>
          <w:rFonts w:ascii="David" w:hAnsi="David" w:cs="David"/>
          <w:rtl/>
        </w:rPr>
        <w:fldChar w:fldCharType="end"/>
      </w:r>
      <w:r w:rsidRPr="005F3228">
        <w:rPr>
          <w:rFonts w:ascii="David" w:hAnsi="David" w:cs="David"/>
          <w:rtl/>
        </w:rPr>
        <w:t>.</w:t>
      </w:r>
    </w:p>
  </w:footnote>
  <w:footnote w:id="106">
    <w:p w14:paraId="4C311A4B" w14:textId="51F925E9"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ראו דברי הסבר להצעת חוק העיצובים,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Ref28321967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50</w:t>
      </w:r>
      <w:r w:rsidRPr="005F3228">
        <w:rPr>
          <w:rFonts w:ascii="David" w:hAnsi="David" w:cs="David"/>
          <w:rtl/>
        </w:rPr>
        <w:fldChar w:fldCharType="end"/>
      </w:r>
      <w:r w:rsidRPr="005F3228">
        <w:rPr>
          <w:rFonts w:ascii="David" w:hAnsi="David" w:cs="David"/>
          <w:rtl/>
        </w:rPr>
        <w:t>.</w:t>
      </w:r>
    </w:p>
  </w:footnote>
  <w:footnote w:id="107">
    <w:p w14:paraId="12CA9035" w14:textId="7E381CE9"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סעיף 2 לחוק העיצובים, </w:t>
      </w:r>
      <w:r w:rsidRPr="005F3228">
        <w:rPr>
          <w:rFonts w:ascii="David" w:hAnsi="David" w:cs="David"/>
          <w:b/>
          <w:bCs/>
          <w:rtl/>
        </w:rPr>
        <w:t xml:space="preserve">לעיל </w:t>
      </w:r>
      <w:r w:rsidRPr="005F3228">
        <w:rPr>
          <w:rFonts w:ascii="David" w:hAnsi="David" w:cs="David"/>
          <w:rtl/>
        </w:rPr>
        <w:t xml:space="preserve">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Ref28465732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15</w:t>
      </w:r>
      <w:r w:rsidRPr="005F3228">
        <w:rPr>
          <w:rFonts w:ascii="David" w:hAnsi="David" w:cs="David"/>
          <w:rtl/>
        </w:rPr>
        <w:fldChar w:fldCharType="end"/>
      </w:r>
      <w:r w:rsidRPr="005F3228">
        <w:rPr>
          <w:rFonts w:ascii="David" w:hAnsi="David" w:cs="David"/>
          <w:rtl/>
        </w:rPr>
        <w:t>.</w:t>
      </w:r>
    </w:p>
  </w:footnote>
  <w:footnote w:id="108">
    <w:p w14:paraId="000AF662"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b/>
          <w:bCs/>
          <w:rtl/>
        </w:rPr>
        <w:t>שם</w:t>
      </w:r>
      <w:r w:rsidRPr="005F3228">
        <w:rPr>
          <w:rFonts w:ascii="David" w:hAnsi="David" w:cs="David"/>
          <w:rtl/>
        </w:rPr>
        <w:t xml:space="preserve">. עם זאת, הסדר ייחוד העילה לא נועד לשלול עילות תביעה מכוח דינים ספציפיים אחרים, כגון דיני סימני המסחר או דיני העוולות המסחריות. </w:t>
      </w:r>
      <w:r w:rsidRPr="005F3228">
        <w:rPr>
          <w:rFonts w:ascii="David" w:hAnsi="David" w:cs="David"/>
          <w:b/>
          <w:bCs/>
          <w:rtl/>
        </w:rPr>
        <w:t>שם</w:t>
      </w:r>
      <w:r w:rsidRPr="005F3228">
        <w:rPr>
          <w:rFonts w:ascii="David" w:hAnsi="David" w:cs="David"/>
          <w:rtl/>
        </w:rPr>
        <w:t xml:space="preserve">, </w:t>
      </w:r>
      <w:proofErr w:type="spellStart"/>
      <w:r w:rsidRPr="005F3228">
        <w:rPr>
          <w:rFonts w:ascii="David" w:hAnsi="David" w:cs="David"/>
          <w:rtl/>
        </w:rPr>
        <w:t>בע</w:t>
      </w:r>
      <w:proofErr w:type="spellEnd"/>
      <w:r w:rsidRPr="005F3228">
        <w:rPr>
          <w:rFonts w:ascii="David" w:hAnsi="David" w:cs="David"/>
          <w:rtl/>
        </w:rPr>
        <w:t>' 701.</w:t>
      </w:r>
    </w:p>
  </w:footnote>
  <w:footnote w:id="109">
    <w:p w14:paraId="3F9AB8C3"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ע"א 3425/17 </w:t>
      </w:r>
      <w:proofErr w:type="spellStart"/>
      <w:r w:rsidRPr="005F3228">
        <w:rPr>
          <w:rFonts w:ascii="David" w:hAnsi="David" w:cs="David"/>
          <w:b/>
          <w:bCs/>
        </w:rPr>
        <w:t>Societe</w:t>
      </w:r>
      <w:proofErr w:type="spellEnd"/>
      <w:r w:rsidRPr="005F3228">
        <w:rPr>
          <w:rFonts w:ascii="David" w:hAnsi="David" w:cs="David"/>
          <w:b/>
          <w:bCs/>
        </w:rPr>
        <w:t xml:space="preserve"> des </w:t>
      </w:r>
      <w:proofErr w:type="spellStart"/>
      <w:r w:rsidRPr="005F3228">
        <w:rPr>
          <w:rFonts w:ascii="David" w:hAnsi="David" w:cs="David"/>
          <w:b/>
          <w:bCs/>
        </w:rPr>
        <w:t>Produits</w:t>
      </w:r>
      <w:proofErr w:type="spellEnd"/>
      <w:r w:rsidRPr="005F3228">
        <w:rPr>
          <w:rFonts w:ascii="David" w:hAnsi="David" w:cs="David"/>
          <w:b/>
          <w:bCs/>
        </w:rPr>
        <w:t xml:space="preserve"> Nestle</w:t>
      </w:r>
      <w:r w:rsidRPr="005F3228">
        <w:rPr>
          <w:rFonts w:ascii="David" w:hAnsi="David" w:cs="David"/>
          <w:b/>
          <w:bCs/>
          <w:rtl/>
        </w:rPr>
        <w:t xml:space="preserve"> ואח' נ' אספרסו קלאב בע"מ</w:t>
      </w:r>
      <w:r w:rsidRPr="005F3228">
        <w:rPr>
          <w:rFonts w:ascii="David" w:hAnsi="David" w:cs="David"/>
          <w:rtl/>
        </w:rPr>
        <w:t>, 69 (2019) ("אם כן, בשדה הספציפי של מדגמים ועיצובים נשללה במפורש תחולתו של חוק עשיית עושר ולא במשפט, אך רק לאחר הוספת הגנה חקוקה ומיוחדת, הקובעת מעין "דיני עשיית עושר" פנימיים ביחס לעיצובים").</w:t>
      </w:r>
    </w:p>
  </w:footnote>
  <w:footnote w:id="110">
    <w:p w14:paraId="2DAEDC4C"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ע"א (מחוזי חי') 40319-02-10 </w:t>
      </w:r>
      <w:r w:rsidRPr="005F3228">
        <w:rPr>
          <w:rFonts w:ascii="David" w:hAnsi="David" w:cs="David"/>
          <w:b/>
          <w:bCs/>
          <w:rtl/>
        </w:rPr>
        <w:t xml:space="preserve">סגל נ' </w:t>
      </w:r>
      <w:proofErr w:type="spellStart"/>
      <w:r w:rsidRPr="005F3228">
        <w:rPr>
          <w:rFonts w:ascii="David" w:hAnsi="David" w:cs="David"/>
          <w:b/>
          <w:bCs/>
          <w:rtl/>
        </w:rPr>
        <w:t>גולדהמר</w:t>
      </w:r>
      <w:proofErr w:type="spellEnd"/>
      <w:r w:rsidRPr="005F3228">
        <w:rPr>
          <w:rFonts w:ascii="David" w:hAnsi="David" w:cs="David"/>
          <w:rtl/>
        </w:rPr>
        <w:t xml:space="preserve"> (2010).</w:t>
      </w:r>
    </w:p>
  </w:footnote>
  <w:footnote w:id="111">
    <w:p w14:paraId="28460D5A"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ראו, למשל, ת"א (שלום ת"א) 38116/05 </w:t>
      </w:r>
      <w:r w:rsidRPr="005F3228">
        <w:rPr>
          <w:rFonts w:ascii="David" w:hAnsi="David" w:cs="David"/>
          <w:b/>
          <w:bCs/>
          <w:rtl/>
        </w:rPr>
        <w:t>קלדרון נ' גולן</w:t>
      </w:r>
      <w:r w:rsidRPr="005F3228">
        <w:rPr>
          <w:rFonts w:ascii="David" w:hAnsi="David" w:cs="David"/>
          <w:rtl/>
        </w:rPr>
        <w:t xml:space="preserve"> (2006); ת"א (שלום ת"א) 72672/04 </w:t>
      </w:r>
      <w:proofErr w:type="spellStart"/>
      <w:r w:rsidRPr="005F3228">
        <w:rPr>
          <w:rFonts w:ascii="David" w:hAnsi="David" w:cs="David"/>
          <w:b/>
          <w:bCs/>
          <w:rtl/>
        </w:rPr>
        <w:t>עזגד</w:t>
      </w:r>
      <w:proofErr w:type="spellEnd"/>
      <w:r w:rsidRPr="005F3228">
        <w:rPr>
          <w:rFonts w:ascii="David" w:hAnsi="David" w:cs="David"/>
          <w:b/>
          <w:bCs/>
          <w:rtl/>
        </w:rPr>
        <w:t xml:space="preserve"> נ' יעקב </w:t>
      </w:r>
      <w:proofErr w:type="spellStart"/>
      <w:r w:rsidRPr="005F3228">
        <w:rPr>
          <w:rFonts w:ascii="David" w:hAnsi="David" w:cs="David"/>
          <w:b/>
          <w:bCs/>
          <w:rtl/>
        </w:rPr>
        <w:t>שפילגמן</w:t>
      </w:r>
      <w:proofErr w:type="spellEnd"/>
      <w:r w:rsidRPr="005F3228">
        <w:rPr>
          <w:rFonts w:ascii="David" w:hAnsi="David" w:cs="David"/>
          <w:b/>
          <w:bCs/>
          <w:rtl/>
        </w:rPr>
        <w:t xml:space="preserve"> ושות' </w:t>
      </w:r>
      <w:r w:rsidRPr="005F3228">
        <w:rPr>
          <w:rFonts w:ascii="David" w:hAnsi="David" w:cs="David"/>
          <w:rtl/>
        </w:rPr>
        <w:t xml:space="preserve">(2007); ת"א (מחוזי י-ם) 7147/05 </w:t>
      </w:r>
      <w:proofErr w:type="spellStart"/>
      <w:r w:rsidRPr="005F3228">
        <w:rPr>
          <w:rFonts w:ascii="David" w:hAnsi="David" w:cs="David"/>
          <w:b/>
          <w:bCs/>
          <w:rtl/>
        </w:rPr>
        <w:t>סורוקר</w:t>
      </w:r>
      <w:proofErr w:type="spellEnd"/>
      <w:r w:rsidRPr="005F3228">
        <w:rPr>
          <w:rFonts w:ascii="David" w:hAnsi="David" w:cs="David"/>
          <w:b/>
          <w:bCs/>
          <w:rtl/>
        </w:rPr>
        <w:t xml:space="preserve">-אגמון קניין רוחני נ' </w:t>
      </w:r>
      <w:proofErr w:type="spellStart"/>
      <w:r w:rsidRPr="005F3228">
        <w:rPr>
          <w:rFonts w:ascii="David" w:hAnsi="David" w:cs="David"/>
          <w:b/>
          <w:bCs/>
          <w:rtl/>
        </w:rPr>
        <w:t>ארטמן</w:t>
      </w:r>
      <w:proofErr w:type="spellEnd"/>
      <w:r w:rsidRPr="005F3228">
        <w:rPr>
          <w:rFonts w:ascii="David" w:hAnsi="David" w:cs="David"/>
          <w:rtl/>
        </w:rPr>
        <w:t xml:space="preserve"> (2007). לשם זהירות, החלטנו לסווג את המקרה כדמוי </w:t>
      </w:r>
      <w:proofErr w:type="spellStart"/>
      <w:r w:rsidRPr="005F3228">
        <w:rPr>
          <w:rFonts w:ascii="David" w:hAnsi="David" w:cs="David"/>
          <w:rtl/>
        </w:rPr>
        <w:t>א.ש.י.ר</w:t>
      </w:r>
      <w:proofErr w:type="spellEnd"/>
      <w:r w:rsidRPr="005F3228">
        <w:rPr>
          <w:rFonts w:ascii="David" w:hAnsi="David" w:cs="David"/>
          <w:rtl/>
        </w:rPr>
        <w:t>., אך ברור לחלוטין כי מקרה זה לא מהווה "פריצת גבולות" של דיני הקניין הרוחני.</w:t>
      </w:r>
    </w:p>
  </w:footnote>
  <w:footnote w:id="112">
    <w:p w14:paraId="227B02F3"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ת"א (מחוזי י-ם) 7236/05 </w:t>
      </w:r>
      <w:r w:rsidRPr="005F3228">
        <w:rPr>
          <w:rFonts w:ascii="David" w:hAnsi="David" w:cs="David"/>
          <w:b/>
          <w:bCs/>
          <w:rtl/>
        </w:rPr>
        <w:t>לוין נ' אבני רביד</w:t>
      </w:r>
      <w:r w:rsidRPr="005F3228">
        <w:rPr>
          <w:rFonts w:ascii="David" w:hAnsi="David" w:cs="David"/>
          <w:rtl/>
        </w:rPr>
        <w:t xml:space="preserve"> (2006). </w:t>
      </w:r>
    </w:p>
  </w:footnote>
  <w:footnote w:id="113">
    <w:p w14:paraId="642CE22B"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b/>
          <w:bCs/>
          <w:rtl/>
        </w:rPr>
        <w:t xml:space="preserve"> שם, </w:t>
      </w:r>
      <w:r w:rsidRPr="005F3228">
        <w:rPr>
          <w:rFonts w:ascii="David" w:hAnsi="David" w:cs="David"/>
          <w:rtl/>
        </w:rPr>
        <w:t>בפסקה 26 לפסק הדין  ("ביתו של אדם, הריהו עושר השמור לבעליו. ברצותו יתיר את פרסום תצלום חזית הבית לתכלית מסחרית, וברצותו ימאן").</w:t>
      </w:r>
    </w:p>
  </w:footnote>
  <w:footnote w:id="114">
    <w:p w14:paraId="28ED66D0"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ת"א (מחוזי ת"א) 48664-11-12 </w:t>
      </w:r>
      <w:r w:rsidRPr="005F3228">
        <w:rPr>
          <w:rFonts w:ascii="David" w:hAnsi="David" w:cs="David"/>
          <w:b/>
          <w:bCs/>
          <w:rtl/>
        </w:rPr>
        <w:t xml:space="preserve">זרמון </w:t>
      </w:r>
      <w:r w:rsidRPr="005F3228">
        <w:rPr>
          <w:rFonts w:ascii="David" w:hAnsi="David" w:cs="David"/>
          <w:b/>
          <w:bCs/>
        </w:rPr>
        <w:t>DDB</w:t>
      </w:r>
      <w:r w:rsidRPr="005F3228">
        <w:rPr>
          <w:rFonts w:ascii="David" w:hAnsi="David" w:cs="David"/>
          <w:b/>
          <w:bCs/>
          <w:rtl/>
        </w:rPr>
        <w:t xml:space="preserve"> בע"מ נ' אדלר חומסקי ו-</w:t>
      </w:r>
      <w:proofErr w:type="spellStart"/>
      <w:r w:rsidRPr="005F3228">
        <w:rPr>
          <w:rFonts w:ascii="David" w:hAnsi="David" w:cs="David"/>
          <w:b/>
          <w:bCs/>
          <w:rtl/>
        </w:rPr>
        <w:t>ורשבסקי</w:t>
      </w:r>
      <w:proofErr w:type="spellEnd"/>
      <w:r w:rsidRPr="005F3228">
        <w:rPr>
          <w:rFonts w:ascii="David" w:hAnsi="David" w:cs="David"/>
          <w:b/>
          <w:bCs/>
          <w:rtl/>
        </w:rPr>
        <w:t xml:space="preserve"> </w:t>
      </w:r>
      <w:r w:rsidRPr="005F3228">
        <w:rPr>
          <w:rFonts w:ascii="David" w:hAnsi="David" w:cs="David"/>
          <w:rtl/>
        </w:rPr>
        <w:t xml:space="preserve">(2016). </w:t>
      </w:r>
    </w:p>
  </w:footnote>
  <w:footnote w:id="115">
    <w:p w14:paraId="368DEF36"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סעיף 5(1) לחוק זכות יוצרים ("זכות יוצרים ביצירה כאמור בסעיף 4 לא תחול על כל אחד מאלה, ואולם על דרך ביטויים תחול זכות היוצרים: (1) רעיון;..").</w:t>
      </w:r>
      <w:r w:rsidRPr="005F3228">
        <w:rPr>
          <w:rFonts w:ascii="David" w:hAnsi="David" w:cs="David"/>
        </w:rPr>
        <w:t xml:space="preserve"> </w:t>
      </w:r>
    </w:p>
  </w:footnote>
  <w:footnote w:id="116">
    <w:p w14:paraId="7E1EC68D"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השוו ע"א 2682/11 </w:t>
      </w:r>
      <w:r w:rsidRPr="005F3228">
        <w:rPr>
          <w:rFonts w:ascii="David" w:hAnsi="David" w:cs="David"/>
          <w:b/>
          <w:bCs/>
          <w:rtl/>
        </w:rPr>
        <w:t xml:space="preserve">עירית פתח תקוה נ. </w:t>
      </w:r>
      <w:proofErr w:type="spellStart"/>
      <w:r w:rsidRPr="005F3228">
        <w:rPr>
          <w:rFonts w:ascii="David" w:hAnsi="David" w:cs="David"/>
          <w:b/>
          <w:bCs/>
          <w:rtl/>
        </w:rPr>
        <w:t>זיסו</w:t>
      </w:r>
      <w:proofErr w:type="spellEnd"/>
      <w:r w:rsidRPr="005F3228">
        <w:rPr>
          <w:rFonts w:ascii="David" w:hAnsi="David" w:cs="David"/>
          <w:rtl/>
        </w:rPr>
        <w:t xml:space="preserve"> (2011), שם נדחתה תביעה בגין שימוש ברעיון, תוך שנקבע כי הרעיון אינו מוגן בזכויות יוצרים. באותו מקרה לא התקיים דיון מהותי בעילת עשיית העושר אך בית המשפט הזכיר כי "</w:t>
      </w:r>
      <w:r w:rsidRPr="005F3228">
        <w:rPr>
          <w:rFonts w:ascii="David" w:hAnsi="David" w:cs="David"/>
          <w:color w:val="000000"/>
          <w:shd w:val="clear" w:color="auto" w:fill="FFFFFF"/>
          <w:rtl/>
        </w:rPr>
        <w:t>שימוש יתר בעילות מתחום דיני עשיית העושר, בתחומים החופפים לדיני הקניין הרוחני, איננו רצוי". </w:t>
      </w:r>
      <w:r w:rsidRPr="005F3228">
        <w:rPr>
          <w:rFonts w:ascii="David" w:hAnsi="David" w:cs="David"/>
          <w:rtl/>
        </w:rPr>
        <w:t xml:space="preserve"> </w:t>
      </w:r>
      <w:r w:rsidRPr="005F3228" w:rsidDel="00772595">
        <w:rPr>
          <w:rFonts w:ascii="David" w:hAnsi="David" w:cs="David"/>
          <w:rtl/>
        </w:rPr>
        <w:t xml:space="preserve"> </w:t>
      </w:r>
    </w:p>
  </w:footnote>
  <w:footnote w:id="117">
    <w:p w14:paraId="7DB40A8D"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ת"א (מחוזי ת"א) 1171/97 </w:t>
      </w:r>
      <w:r w:rsidRPr="005F3228">
        <w:rPr>
          <w:rFonts w:ascii="David" w:hAnsi="David" w:cs="David"/>
          <w:b/>
          <w:bCs/>
        </w:rPr>
        <w:t>JOOP GMBH</w:t>
      </w:r>
      <w:r w:rsidRPr="005F3228">
        <w:rPr>
          <w:rFonts w:ascii="David" w:hAnsi="David" w:cs="David"/>
          <w:b/>
          <w:bCs/>
          <w:rtl/>
        </w:rPr>
        <w:t xml:space="preserve"> נ' כל </w:t>
      </w:r>
      <w:proofErr w:type="spellStart"/>
      <w:r w:rsidRPr="005F3228">
        <w:rPr>
          <w:rFonts w:ascii="David" w:hAnsi="David" w:cs="David"/>
          <w:b/>
          <w:bCs/>
          <w:rtl/>
        </w:rPr>
        <w:t>פרפיום</w:t>
      </w:r>
      <w:proofErr w:type="spellEnd"/>
      <w:r w:rsidRPr="005F3228">
        <w:rPr>
          <w:rFonts w:ascii="David" w:hAnsi="David" w:cs="David"/>
          <w:b/>
          <w:bCs/>
          <w:rtl/>
        </w:rPr>
        <w:t xml:space="preserve"> בע"מ</w:t>
      </w:r>
      <w:r w:rsidRPr="005F3228">
        <w:rPr>
          <w:rFonts w:ascii="David" w:hAnsi="David" w:cs="David"/>
          <w:rtl/>
        </w:rPr>
        <w:t xml:space="preserve"> (2006). </w:t>
      </w:r>
    </w:p>
  </w:footnote>
  <w:footnote w:id="118">
    <w:p w14:paraId="1B0FFF62" w14:textId="7FC6DA22"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עניין </w:t>
      </w:r>
      <w:r w:rsidRPr="005F3228">
        <w:rPr>
          <w:rFonts w:ascii="David" w:hAnsi="David" w:cs="David"/>
          <w:b/>
          <w:bCs/>
          <w:rtl/>
        </w:rPr>
        <w:t>אוניפארם, 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Ref28466237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17</w:t>
      </w:r>
      <w:r w:rsidRPr="005F3228">
        <w:rPr>
          <w:rFonts w:ascii="David" w:hAnsi="David" w:cs="David"/>
          <w:rtl/>
        </w:rPr>
        <w:fldChar w:fldCharType="end"/>
      </w:r>
      <w:r w:rsidRPr="005F3228">
        <w:rPr>
          <w:rFonts w:ascii="David" w:hAnsi="David" w:cs="David"/>
          <w:rtl/>
        </w:rPr>
        <w:t xml:space="preserve">. </w:t>
      </w:r>
    </w:p>
  </w:footnote>
  <w:footnote w:id="119">
    <w:p w14:paraId="4FC50747"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b/>
          <w:bCs/>
          <w:rtl/>
        </w:rPr>
        <w:t xml:space="preserve">שם, </w:t>
      </w:r>
      <w:r w:rsidRPr="005F3228">
        <w:rPr>
          <w:rFonts w:ascii="David" w:hAnsi="David" w:cs="David"/>
          <w:rtl/>
        </w:rPr>
        <w:t>בפסקה 92.</w:t>
      </w:r>
    </w:p>
  </w:footnote>
  <w:footnote w:id="120">
    <w:p w14:paraId="54B4FCDE"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b/>
          <w:bCs/>
          <w:rtl/>
        </w:rPr>
        <w:t>שם</w:t>
      </w:r>
      <w:r w:rsidRPr="005F3228">
        <w:rPr>
          <w:rFonts w:ascii="David" w:hAnsi="David" w:cs="David"/>
          <w:rtl/>
        </w:rPr>
        <w:t xml:space="preserve">, בפסקאות 81 ו-91. </w:t>
      </w:r>
    </w:p>
  </w:footnote>
  <w:footnote w:id="121">
    <w:p w14:paraId="3E55B4D4"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עם זאת, למעלה מן הצורך, בית המשפט הבהיר כי גם בהעדר כלל תחרות מכוח דין חיצוני, היה מקום ליצור כלל כזה באמצעות חקיקה שיפוטית ולקבוע כי הטעיה כלפי רשם הפטנטים מהווה לא רק הפרת החובות כלפי המדינה, אלא גם הפרת כללי התחרות החלים בין מתחרים. </w:t>
      </w:r>
      <w:r w:rsidRPr="005F3228">
        <w:rPr>
          <w:rFonts w:ascii="David" w:hAnsi="David" w:cs="David"/>
          <w:b/>
          <w:bCs/>
          <w:rtl/>
        </w:rPr>
        <w:t>שם</w:t>
      </w:r>
      <w:r w:rsidRPr="005F3228">
        <w:rPr>
          <w:rFonts w:ascii="David" w:hAnsi="David" w:cs="David"/>
          <w:rtl/>
        </w:rPr>
        <w:t>, בפסקה 95.</w:t>
      </w:r>
    </w:p>
  </w:footnote>
  <w:footnote w:id="122">
    <w:p w14:paraId="7906FD3B"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b/>
          <w:bCs/>
          <w:rtl/>
        </w:rPr>
        <w:t>שם</w:t>
      </w:r>
      <w:r w:rsidRPr="005F3228">
        <w:rPr>
          <w:rFonts w:ascii="David" w:hAnsi="David" w:cs="David"/>
          <w:rtl/>
        </w:rPr>
        <w:t>, בפסקה 97.</w:t>
      </w:r>
    </w:p>
  </w:footnote>
  <w:footnote w:id="123">
    <w:p w14:paraId="1C2DC6EF"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b/>
          <w:bCs/>
          <w:rtl/>
        </w:rPr>
        <w:t>שם</w:t>
      </w:r>
      <w:r w:rsidRPr="005F3228">
        <w:rPr>
          <w:rFonts w:ascii="David" w:hAnsi="David" w:cs="David"/>
          <w:rtl/>
        </w:rPr>
        <w:t xml:space="preserve">. </w:t>
      </w:r>
    </w:p>
  </w:footnote>
  <w:footnote w:id="124">
    <w:p w14:paraId="2335741A"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ת"א (מחוזי ת"א) 38568-10-11 </w:t>
      </w:r>
      <w:r w:rsidRPr="005F3228">
        <w:rPr>
          <w:rFonts w:ascii="David" w:hAnsi="David" w:cs="David"/>
          <w:b/>
          <w:bCs/>
          <w:rtl/>
        </w:rPr>
        <w:t xml:space="preserve">אוניפארם נ' </w:t>
      </w:r>
      <w:r w:rsidRPr="005F3228">
        <w:rPr>
          <w:rFonts w:ascii="David" w:hAnsi="David" w:cs="David"/>
          <w:b/>
          <w:bCs/>
        </w:rPr>
        <w:t>Glaxo SmithKline</w:t>
      </w:r>
      <w:r w:rsidRPr="005F3228">
        <w:rPr>
          <w:rFonts w:ascii="David" w:hAnsi="David" w:cs="David"/>
          <w:b/>
          <w:bCs/>
          <w:rtl/>
        </w:rPr>
        <w:t xml:space="preserve"> </w:t>
      </w:r>
      <w:r w:rsidRPr="005F3228">
        <w:rPr>
          <w:rFonts w:ascii="David" w:hAnsi="David" w:cs="David"/>
          <w:rtl/>
        </w:rPr>
        <w:t>(2018).</w:t>
      </w:r>
    </w:p>
  </w:footnote>
  <w:footnote w:id="125">
    <w:p w14:paraId="54B3C28A" w14:textId="77777777" w:rsidR="00F06EA1" w:rsidRPr="005F3228" w:rsidRDefault="00F06EA1" w:rsidP="000D19A0">
      <w:pPr>
        <w:pStyle w:val="FootnoteText"/>
        <w:ind w:left="26"/>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ע"א 2167/17 </w:t>
      </w:r>
      <w:r w:rsidRPr="005F3228">
        <w:rPr>
          <w:rFonts w:ascii="David" w:hAnsi="David" w:cs="David"/>
          <w:b/>
          <w:bCs/>
        </w:rPr>
        <w:t>Sanofi</w:t>
      </w:r>
      <w:r w:rsidRPr="005F3228">
        <w:rPr>
          <w:rFonts w:ascii="David" w:hAnsi="David" w:cs="David"/>
          <w:b/>
          <w:bCs/>
          <w:rtl/>
        </w:rPr>
        <w:t xml:space="preserve"> נ' אוניפארם</w:t>
      </w:r>
      <w:r w:rsidRPr="005F3228">
        <w:rPr>
          <w:rFonts w:ascii="David" w:hAnsi="David" w:cs="David"/>
          <w:rtl/>
        </w:rPr>
        <w:t xml:space="preserve">. </w:t>
      </w:r>
    </w:p>
  </w:footnote>
  <w:footnote w:id="126">
    <w:p w14:paraId="0F3B11B6"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לנסיבות אחרות בהן ניתן בעבר סעד בעשיית עושר למתחרה של בעל פטנט, ראו ע"א 280/73 </w:t>
      </w:r>
      <w:proofErr w:type="spellStart"/>
      <w:r w:rsidRPr="005F3228">
        <w:rPr>
          <w:rFonts w:ascii="David" w:hAnsi="David" w:cs="David"/>
          <w:b/>
          <w:bCs/>
          <w:rtl/>
        </w:rPr>
        <w:t>פלאימפורט</w:t>
      </w:r>
      <w:proofErr w:type="spellEnd"/>
      <w:r w:rsidRPr="005F3228">
        <w:rPr>
          <w:rFonts w:ascii="David" w:hAnsi="David" w:cs="David"/>
          <w:b/>
          <w:bCs/>
          <w:rtl/>
        </w:rPr>
        <w:t xml:space="preserve"> נ' </w:t>
      </w:r>
      <w:proofErr w:type="spellStart"/>
      <w:r w:rsidRPr="005F3228">
        <w:rPr>
          <w:rFonts w:ascii="David" w:hAnsi="David" w:cs="David"/>
          <w:b/>
          <w:bCs/>
          <w:rtl/>
        </w:rPr>
        <w:t>ציבה</w:t>
      </w:r>
      <w:proofErr w:type="spellEnd"/>
      <w:r w:rsidRPr="005F3228">
        <w:rPr>
          <w:rFonts w:ascii="David" w:hAnsi="David" w:cs="David"/>
          <w:b/>
          <w:bCs/>
          <w:rtl/>
        </w:rPr>
        <w:t xml:space="preserve"> </w:t>
      </w:r>
      <w:proofErr w:type="spellStart"/>
      <w:r w:rsidRPr="005F3228">
        <w:rPr>
          <w:rFonts w:ascii="David" w:hAnsi="David" w:cs="David"/>
          <w:b/>
          <w:bCs/>
          <w:rtl/>
        </w:rPr>
        <w:t>גייגי</w:t>
      </w:r>
      <w:proofErr w:type="spellEnd"/>
      <w:r w:rsidRPr="005F3228">
        <w:rPr>
          <w:rFonts w:ascii="David" w:hAnsi="David" w:cs="David"/>
          <w:rtl/>
        </w:rPr>
        <w:t xml:space="preserve">, פ"ד </w:t>
      </w:r>
      <w:proofErr w:type="spellStart"/>
      <w:r w:rsidRPr="005F3228">
        <w:rPr>
          <w:rFonts w:ascii="David" w:hAnsi="David" w:cs="David"/>
          <w:rtl/>
        </w:rPr>
        <w:t>כט</w:t>
      </w:r>
      <w:proofErr w:type="spellEnd"/>
      <w:r w:rsidRPr="005F3228">
        <w:rPr>
          <w:rFonts w:ascii="David" w:hAnsi="David" w:cs="David"/>
          <w:rtl/>
        </w:rPr>
        <w:t xml:space="preserve">(1) 597 (1974). בנסיבות אותו מקרה, נפגעה זכותה של </w:t>
      </w:r>
      <w:proofErr w:type="spellStart"/>
      <w:r w:rsidRPr="005F3228">
        <w:rPr>
          <w:rFonts w:ascii="David" w:hAnsi="David" w:cs="David"/>
          <w:rtl/>
        </w:rPr>
        <w:t>פליאימפורט</w:t>
      </w:r>
      <w:proofErr w:type="spellEnd"/>
      <w:r w:rsidRPr="005F3228">
        <w:rPr>
          <w:rFonts w:ascii="David" w:hAnsi="David" w:cs="David"/>
          <w:rtl/>
        </w:rPr>
        <w:t xml:space="preserve"> להתחרות בשוק בשל צו מניעה שניתן </w:t>
      </w:r>
      <w:proofErr w:type="spellStart"/>
      <w:r w:rsidRPr="005F3228">
        <w:rPr>
          <w:rFonts w:ascii="David" w:hAnsi="David" w:cs="David"/>
          <w:rtl/>
        </w:rPr>
        <w:t>לציבה</w:t>
      </w:r>
      <w:proofErr w:type="spellEnd"/>
      <w:r w:rsidRPr="005F3228">
        <w:rPr>
          <w:rFonts w:ascii="David" w:hAnsi="David" w:cs="David"/>
          <w:rtl/>
        </w:rPr>
        <w:t xml:space="preserve"> </w:t>
      </w:r>
      <w:proofErr w:type="spellStart"/>
      <w:r w:rsidRPr="005F3228">
        <w:rPr>
          <w:rFonts w:ascii="David" w:hAnsi="David" w:cs="David"/>
          <w:rtl/>
        </w:rPr>
        <w:t>גייגי</w:t>
      </w:r>
      <w:proofErr w:type="spellEnd"/>
      <w:r w:rsidRPr="005F3228">
        <w:rPr>
          <w:rFonts w:ascii="David" w:hAnsi="David" w:cs="David"/>
          <w:rtl/>
        </w:rPr>
        <w:t xml:space="preserve"> בתביעה שהגישה נגדה להפרת פטנט. לימים בוטל צו המניעה מן הטעם שהפטנט חסר תוקף. בית המשפט פסק כי </w:t>
      </w:r>
      <w:proofErr w:type="spellStart"/>
      <w:r w:rsidRPr="005F3228">
        <w:rPr>
          <w:rFonts w:ascii="David" w:hAnsi="David" w:cs="David"/>
          <w:rtl/>
        </w:rPr>
        <w:t>פליאמפורט</w:t>
      </w:r>
      <w:proofErr w:type="spellEnd"/>
      <w:r w:rsidRPr="005F3228">
        <w:rPr>
          <w:rFonts w:ascii="David" w:hAnsi="David" w:cs="David"/>
          <w:rtl/>
        </w:rPr>
        <w:t xml:space="preserve"> זכאית לסעד בעשיית עושר כנגד </w:t>
      </w:r>
      <w:proofErr w:type="spellStart"/>
      <w:r w:rsidRPr="005F3228">
        <w:rPr>
          <w:rFonts w:ascii="David" w:hAnsi="David" w:cs="David"/>
          <w:rtl/>
        </w:rPr>
        <w:t>ציבה</w:t>
      </w:r>
      <w:proofErr w:type="spellEnd"/>
      <w:r w:rsidRPr="005F3228">
        <w:rPr>
          <w:rFonts w:ascii="David" w:hAnsi="David" w:cs="David"/>
          <w:rtl/>
        </w:rPr>
        <w:t xml:space="preserve"> </w:t>
      </w:r>
      <w:proofErr w:type="spellStart"/>
      <w:r w:rsidRPr="005F3228">
        <w:rPr>
          <w:rFonts w:ascii="David" w:hAnsi="David" w:cs="David"/>
          <w:rtl/>
        </w:rPr>
        <w:t>גייגי</w:t>
      </w:r>
      <w:proofErr w:type="spellEnd"/>
      <w:r w:rsidRPr="005F3228">
        <w:rPr>
          <w:rFonts w:ascii="David" w:hAnsi="David" w:cs="David"/>
          <w:rtl/>
        </w:rPr>
        <w:t xml:space="preserve">, שנהנתה מצו המניעה בתקופה שבין נתינתו ועד ביטולו. </w:t>
      </w:r>
    </w:p>
  </w:footnote>
  <w:footnote w:id="127">
    <w:p w14:paraId="682323F8" w14:textId="77777777" w:rsidR="00F06EA1" w:rsidRPr="005F3228" w:rsidRDefault="00F06EA1" w:rsidP="00CA0980">
      <w:pPr>
        <w:pStyle w:val="FootnoteText"/>
        <w:jc w:val="both"/>
      </w:pPr>
      <w:r w:rsidRPr="005F3228">
        <w:rPr>
          <w:rStyle w:val="FootnoteReference"/>
        </w:rPr>
        <w:footnoteRef/>
      </w:r>
      <w:r w:rsidRPr="005F3228">
        <w:rPr>
          <w:rtl/>
        </w:rPr>
        <w:t xml:space="preserve"> </w:t>
      </w:r>
      <w:r w:rsidRPr="005F3228">
        <w:rPr>
          <w:rFonts w:ascii="David" w:hAnsi="David" w:cs="David"/>
          <w:rtl/>
        </w:rPr>
        <w:t xml:space="preserve">לתיאור אופן אחר בו דיני עשיית עושר </w:t>
      </w:r>
      <w:r w:rsidRPr="005F3228">
        <w:rPr>
          <w:rFonts w:ascii="David" w:hAnsi="David" w:cs="David" w:hint="cs"/>
          <w:rtl/>
        </w:rPr>
        <w:t xml:space="preserve">עשויים </w:t>
      </w:r>
      <w:r w:rsidRPr="005F3228">
        <w:rPr>
          <w:rFonts w:ascii="David" w:hAnsi="David" w:cs="David"/>
          <w:rtl/>
        </w:rPr>
        <w:t xml:space="preserve">להוביל לצמצום הגנת הקניין הרוחני, ראו גיא פסח, "על פסיקה בענייני משפט וטכנולוגיה – בעקבות בש"א (ת"א) 11464/08 </w:t>
      </w:r>
      <w:r w:rsidRPr="005F3228">
        <w:rPr>
          <w:rFonts w:ascii="David" w:hAnsi="David" w:cs="David"/>
        </w:rPr>
        <w:t>The Football Association Premier League Ltd.</w:t>
      </w:r>
      <w:r w:rsidRPr="005F3228">
        <w:rPr>
          <w:rFonts w:ascii="David" w:hAnsi="David" w:cs="David"/>
          <w:rtl/>
        </w:rPr>
        <w:t xml:space="preserve">", </w:t>
      </w:r>
      <w:r w:rsidRPr="005F3228">
        <w:rPr>
          <w:rFonts w:ascii="David" w:hAnsi="David" w:cs="David"/>
          <w:b/>
          <w:bCs/>
          <w:rtl/>
        </w:rPr>
        <w:t xml:space="preserve">ספר שלמה לוין </w:t>
      </w:r>
      <w:r w:rsidRPr="005F3228">
        <w:rPr>
          <w:rFonts w:ascii="David" w:hAnsi="David" w:cs="David"/>
          <w:rtl/>
        </w:rPr>
        <w:t xml:space="preserve">579, 604 (אשר </w:t>
      </w:r>
      <w:proofErr w:type="spellStart"/>
      <w:r w:rsidRPr="005F3228">
        <w:rPr>
          <w:rFonts w:ascii="David" w:hAnsi="David" w:cs="David"/>
          <w:rtl/>
        </w:rPr>
        <w:t>גרוניס</w:t>
      </w:r>
      <w:proofErr w:type="spellEnd"/>
      <w:r w:rsidRPr="005F3228">
        <w:rPr>
          <w:rFonts w:ascii="David" w:hAnsi="David" w:cs="David"/>
          <w:rtl/>
        </w:rPr>
        <w:t xml:space="preserve">, אליעזר ריבלין </w:t>
      </w:r>
      <w:proofErr w:type="spellStart"/>
      <w:r w:rsidRPr="005F3228">
        <w:rPr>
          <w:rFonts w:ascii="David" w:hAnsi="David" w:cs="David"/>
          <w:rtl/>
        </w:rPr>
        <w:t>ומיכאיל</w:t>
      </w:r>
      <w:proofErr w:type="spellEnd"/>
      <w:r w:rsidRPr="005F3228">
        <w:rPr>
          <w:rFonts w:ascii="David" w:hAnsi="David" w:cs="David"/>
          <w:rtl/>
        </w:rPr>
        <w:t xml:space="preserve"> קרייני, עורכים, 2013) (שם </w:t>
      </w:r>
      <w:r w:rsidRPr="005F3228">
        <w:rPr>
          <w:rFonts w:ascii="David" w:hAnsi="David" w:cs="David" w:hint="cs"/>
          <w:rtl/>
        </w:rPr>
        <w:t>מציע</w:t>
      </w:r>
      <w:r w:rsidRPr="005F3228">
        <w:rPr>
          <w:rFonts w:ascii="David" w:hAnsi="David" w:cs="David"/>
          <w:rtl/>
        </w:rPr>
        <w:t xml:space="preserve"> המחבר </w:t>
      </w:r>
      <w:r w:rsidRPr="005F3228">
        <w:rPr>
          <w:rFonts w:ascii="David" w:hAnsi="David" w:cs="David" w:hint="cs"/>
          <w:rtl/>
        </w:rPr>
        <w:t xml:space="preserve">כי </w:t>
      </w:r>
      <w:r w:rsidRPr="005F3228">
        <w:rPr>
          <w:rFonts w:ascii="David" w:hAnsi="David" w:cs="David"/>
          <w:rtl/>
        </w:rPr>
        <w:t xml:space="preserve">בהקשרים מסוימים, ראוי כי קיומה של עילת תביעה בעשיית עושר יהווה שיקול נגד תחולתם של דיני זכות יוצרים).    </w:t>
      </w:r>
    </w:p>
  </w:footnote>
  <w:footnote w:id="128">
    <w:p w14:paraId="2727CB6B" w14:textId="69C50AFB" w:rsidR="00F06EA1" w:rsidRPr="005F3228" w:rsidRDefault="00F06EA1" w:rsidP="00475F86">
      <w:pPr>
        <w:pStyle w:val="FootnoteText"/>
      </w:pPr>
      <w:r w:rsidRPr="005F3228">
        <w:rPr>
          <w:rStyle w:val="FootnoteReference"/>
        </w:rPr>
        <w:footnoteRef/>
      </w:r>
      <w:r w:rsidRPr="005F3228">
        <w:rPr>
          <w:rtl/>
        </w:rPr>
        <w:t xml:space="preserve"> </w:t>
      </w:r>
      <w:r w:rsidRPr="005F3228">
        <w:rPr>
          <w:rFonts w:ascii="David" w:hAnsi="David" w:cs="David"/>
          <w:rtl/>
        </w:rPr>
        <w:t xml:space="preserve">עניין </w:t>
      </w:r>
      <w:r w:rsidRPr="005F3228">
        <w:rPr>
          <w:rFonts w:ascii="David" w:hAnsi="David" w:cs="David"/>
          <w:b/>
          <w:bCs/>
          <w:rtl/>
        </w:rPr>
        <w:t>אוניפארם</w:t>
      </w:r>
      <w:r w:rsidRPr="005F3228">
        <w:rPr>
          <w:rFonts w:ascii="David" w:hAnsi="David" w:cs="David"/>
          <w:rtl/>
        </w:rPr>
        <w:t>,</w:t>
      </w:r>
      <w:r w:rsidRPr="005F3228">
        <w:rPr>
          <w:rFonts w:ascii="David" w:hAnsi="David" w:cs="David"/>
          <w:b/>
          <w:bCs/>
          <w:rtl/>
        </w:rPr>
        <w:t xml:space="preserve"> 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Ref28466237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17</w:t>
      </w:r>
      <w:r w:rsidRPr="005F3228">
        <w:rPr>
          <w:rFonts w:ascii="David" w:hAnsi="David" w:cs="David"/>
          <w:rtl/>
        </w:rPr>
        <w:fldChar w:fldCharType="end"/>
      </w:r>
      <w:r w:rsidRPr="005F3228">
        <w:rPr>
          <w:rFonts w:ascii="David" w:hAnsi="David" w:cs="David" w:hint="cs"/>
          <w:rtl/>
        </w:rPr>
        <w:t>, בפסקאות 93-95.</w:t>
      </w:r>
    </w:p>
  </w:footnote>
  <w:footnote w:id="129">
    <w:p w14:paraId="3CB3980B" w14:textId="4DF24678"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ראו עניין </w:t>
      </w:r>
      <w:proofErr w:type="spellStart"/>
      <w:r w:rsidRPr="005F3228">
        <w:rPr>
          <w:rFonts w:ascii="David" w:hAnsi="David" w:cs="David"/>
          <w:b/>
          <w:bCs/>
          <w:rtl/>
        </w:rPr>
        <w:t>א.ש.י.ר</w:t>
      </w:r>
      <w:proofErr w:type="spellEnd"/>
      <w:r w:rsidRPr="005F3228">
        <w:rPr>
          <w:rFonts w:ascii="David" w:hAnsi="David" w:cs="David"/>
          <w:b/>
          <w:bCs/>
          <w:rtl/>
        </w:rPr>
        <w:t>.</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Ref27910357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w:t>
      </w:r>
      <w:r w:rsidRPr="005F3228">
        <w:rPr>
          <w:rFonts w:ascii="David" w:hAnsi="David" w:cs="David"/>
          <w:rtl/>
        </w:rPr>
        <w:fldChar w:fldCharType="end"/>
      </w:r>
      <w:r w:rsidRPr="005F3228">
        <w:rPr>
          <w:rFonts w:ascii="David" w:hAnsi="David" w:cs="David"/>
          <w:rtl/>
        </w:rPr>
        <w:t>, בעמ' 434. לדיון ביקורתי בקטגוריות אלה ראו גם</w:t>
      </w:r>
      <w:r w:rsidRPr="005F3228">
        <w:rPr>
          <w:rFonts w:ascii="David" w:hAnsi="David" w:cs="David"/>
          <w:b/>
          <w:bCs/>
          <w:rtl/>
        </w:rPr>
        <w:t xml:space="preserve"> </w:t>
      </w:r>
      <w:proofErr w:type="spellStart"/>
      <w:r w:rsidRPr="005F3228">
        <w:rPr>
          <w:rFonts w:ascii="David" w:hAnsi="David" w:cs="David"/>
          <w:b/>
          <w:bCs/>
          <w:rtl/>
        </w:rPr>
        <w:t>גרוסקופף</w:t>
      </w:r>
      <w:proofErr w:type="spellEnd"/>
      <w:r w:rsidRPr="005F3228">
        <w:rPr>
          <w:rFonts w:ascii="David" w:hAnsi="David" w:cs="David"/>
          <w:rtl/>
        </w:rPr>
        <w:t xml:space="preserve">, </w:t>
      </w:r>
      <w:r w:rsidRPr="005F3228">
        <w:rPr>
          <w:rFonts w:ascii="David" w:hAnsi="David" w:cs="David" w:hint="eastAsia"/>
          <w:rtl/>
        </w:rPr>
        <w:t>הערה</w:t>
      </w:r>
      <w:r w:rsidRPr="005F3228">
        <w:rPr>
          <w:rFonts w:ascii="David" w:hAnsi="David" w:cs="David"/>
          <w:rtl/>
        </w:rPr>
        <w:t xml:space="preserve">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Ref39060873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6</w:t>
      </w:r>
      <w:r w:rsidRPr="005F3228">
        <w:rPr>
          <w:rFonts w:ascii="David" w:hAnsi="David" w:cs="David"/>
          <w:rtl/>
        </w:rPr>
        <w:fldChar w:fldCharType="end"/>
      </w:r>
      <w:r w:rsidRPr="005F3228">
        <w:rPr>
          <w:rFonts w:ascii="David" w:hAnsi="David" w:cs="David"/>
          <w:rtl/>
        </w:rPr>
        <w:t xml:space="preserve">, בעמ' 223-226, </w:t>
      </w:r>
      <w:r w:rsidRPr="005F3228">
        <w:rPr>
          <w:rFonts w:ascii="David" w:hAnsi="David" w:cs="David"/>
          <w:b/>
          <w:bCs/>
          <w:rtl/>
        </w:rPr>
        <w:t>דגן</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Ref28029324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36</w:t>
      </w:r>
      <w:r w:rsidRPr="005F3228">
        <w:rPr>
          <w:rFonts w:ascii="David" w:hAnsi="David" w:cs="David"/>
          <w:rtl/>
        </w:rPr>
        <w:fldChar w:fldCharType="end"/>
      </w:r>
      <w:r w:rsidRPr="005F3228">
        <w:rPr>
          <w:rFonts w:ascii="David" w:hAnsi="David" w:cs="David"/>
          <w:rtl/>
        </w:rPr>
        <w:t xml:space="preserve"> לעיל, בעמ' 92-95 (שני הכותבים מסכימים עקרונית כי במקרים מן הסוגים האלה תיתכן הצדקה ל"מעין קניין רוחני", בנסיבות מצומצמות).  </w:t>
      </w:r>
    </w:p>
  </w:footnote>
  <w:footnote w:id="130">
    <w:p w14:paraId="50DCC579" w14:textId="77777777" w:rsidR="00F06EA1" w:rsidRPr="005F3228"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ראו הדיון בחלק ב'2 (ג) לעיל. </w:t>
      </w:r>
    </w:p>
  </w:footnote>
  <w:footnote w:id="131">
    <w:p w14:paraId="409086E1"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b/>
          <w:bCs/>
          <w:rtl/>
        </w:rPr>
        <w:t>שם.</w:t>
      </w:r>
      <w:r w:rsidRPr="005F3228">
        <w:rPr>
          <w:rFonts w:ascii="David" w:hAnsi="David" w:cs="David"/>
          <w:rtl/>
        </w:rPr>
        <w:t xml:space="preserve"> </w:t>
      </w:r>
    </w:p>
  </w:footnote>
  <w:footnote w:id="132">
    <w:p w14:paraId="03932A01" w14:textId="721FE6C9"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בכמה פסקי דין מן השנים האחרונות כללו השופטים אמירות ביחס לתחולה המצומצמת של </w:t>
      </w:r>
      <w:proofErr w:type="spellStart"/>
      <w:r w:rsidRPr="005F3228">
        <w:rPr>
          <w:rFonts w:ascii="David" w:hAnsi="David" w:cs="David"/>
          <w:rtl/>
        </w:rPr>
        <w:t>א.ש.י.ר</w:t>
      </w:r>
      <w:proofErr w:type="spellEnd"/>
      <w:r w:rsidRPr="005F3228">
        <w:rPr>
          <w:rFonts w:ascii="David" w:hAnsi="David" w:cs="David"/>
          <w:rtl/>
        </w:rPr>
        <w:t xml:space="preserve">., והעריכו כי ההלכה לא שינתה את האיזון שנקבע בדיני הקניין הרוחני: ראו למשל עניין </w:t>
      </w:r>
      <w:r w:rsidRPr="005F3228">
        <w:rPr>
          <w:rFonts w:ascii="David" w:hAnsi="David" w:cs="David"/>
          <w:b/>
          <w:bCs/>
        </w:rPr>
        <w:t>Fisher Price</w:t>
      </w:r>
      <w:r w:rsidRPr="005F3228">
        <w:rPr>
          <w:rFonts w:ascii="David" w:hAnsi="David" w:cs="David"/>
          <w:rtl/>
        </w:rPr>
        <w:t xml:space="preserve">, </w:t>
      </w:r>
      <w:r w:rsidRPr="005F3228">
        <w:rPr>
          <w:rFonts w:ascii="David" w:hAnsi="David" w:cs="David" w:hint="cs"/>
          <w:b/>
          <w:bCs/>
          <w:rtl/>
        </w:rPr>
        <w:t xml:space="preserve">לעיל </w:t>
      </w:r>
      <w:r w:rsidRPr="005F3228">
        <w:rPr>
          <w:rFonts w:ascii="David" w:hAnsi="David" w:cs="David"/>
          <w:rtl/>
        </w:rPr>
        <w:t xml:space="preserve">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Ref27910752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7</w:t>
      </w:r>
      <w:r w:rsidRPr="005F3228">
        <w:rPr>
          <w:rFonts w:ascii="David" w:hAnsi="David" w:cs="David"/>
          <w:rtl/>
        </w:rPr>
        <w:fldChar w:fldCharType="end"/>
      </w:r>
      <w:r w:rsidRPr="005F3228">
        <w:rPr>
          <w:rFonts w:ascii="David" w:hAnsi="David" w:cs="David"/>
          <w:rtl/>
        </w:rPr>
        <w:t xml:space="preserve">, בסעיף פד; ע"א 3322/16 </w:t>
      </w:r>
      <w:r w:rsidRPr="005F3228">
        <w:rPr>
          <w:rFonts w:ascii="David" w:hAnsi="David" w:cs="David"/>
          <w:b/>
          <w:bCs/>
          <w:rtl/>
        </w:rPr>
        <w:t>איי די איי חברה לביטוח בע"מ נ' לשכת סוכני ביטוח בישראל</w:t>
      </w:r>
      <w:r w:rsidRPr="005F3228">
        <w:rPr>
          <w:rFonts w:ascii="David" w:hAnsi="David" w:cs="David"/>
          <w:rtl/>
        </w:rPr>
        <w:t xml:space="preserve"> (2017), בסעיף 73. ראו גם </w:t>
      </w:r>
      <w:proofErr w:type="spellStart"/>
      <w:r w:rsidRPr="005F3228">
        <w:rPr>
          <w:rFonts w:ascii="David" w:hAnsi="David" w:cs="David"/>
          <w:b/>
          <w:bCs/>
          <w:rtl/>
        </w:rPr>
        <w:t>מרקוביץ</w:t>
      </w:r>
      <w:proofErr w:type="spellEnd"/>
      <w:r w:rsidRPr="005F3228">
        <w:rPr>
          <w:rFonts w:ascii="David" w:hAnsi="David" w:cs="David"/>
          <w:b/>
          <w:bCs/>
          <w:rtl/>
        </w:rPr>
        <w:t>'</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w:t>
      </w:r>
      <w:r w:rsidRPr="005F3228">
        <w:rPr>
          <w:rFonts w:ascii="David" w:hAnsi="David" w:cs="David" w:hint="cs"/>
          <w:rtl/>
        </w:rPr>
        <w:t xml:space="preserve">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hint="cs"/>
        </w:rPr>
        <w:instrText>NOTEREF</w:instrText>
      </w:r>
      <w:r w:rsidRPr="005F3228">
        <w:rPr>
          <w:rFonts w:ascii="David" w:hAnsi="David" w:cs="David" w:hint="cs"/>
          <w:rtl/>
        </w:rPr>
        <w:instrText xml:space="preserve"> _</w:instrText>
      </w:r>
      <w:r w:rsidRPr="005F3228">
        <w:rPr>
          <w:rFonts w:ascii="David" w:hAnsi="David" w:cs="David" w:hint="cs"/>
        </w:rPr>
        <w:instrText>Ref39132397 \h</w:instrText>
      </w:r>
      <w:r w:rsidRPr="005F3228">
        <w:rPr>
          <w:rFonts w:ascii="David" w:hAnsi="David" w:cs="David"/>
          <w:rtl/>
        </w:rPr>
        <w:instrText xml:space="preserve"> </w:instrText>
      </w:r>
      <w:r w:rsidRPr="005F3228">
        <w:rPr>
          <w:rFonts w:ascii="David" w:hAnsi="David" w:cs="David"/>
          <w:rtl/>
        </w:rPr>
      </w:r>
      <w:r w:rsidR="005F3228">
        <w:rPr>
          <w:rFonts w:ascii="David" w:hAnsi="David" w:cs="David"/>
          <w:rtl/>
        </w:rPr>
        <w:instrText xml:space="preserve"> \* </w:instrText>
      </w:r>
      <w:r w:rsidR="005F3228">
        <w:rPr>
          <w:rFonts w:ascii="David" w:hAnsi="David" w:cs="David"/>
        </w:rPr>
        <w:instrText>MERGEFORMAT</w:instrText>
      </w:r>
      <w:r w:rsidR="005F3228">
        <w:rPr>
          <w:rFonts w:ascii="David" w:hAnsi="David" w:cs="David"/>
          <w:rtl/>
        </w:rPr>
        <w:instrText xml:space="preserve"> </w:instrText>
      </w:r>
      <w:r w:rsidRPr="005F3228">
        <w:rPr>
          <w:rFonts w:ascii="David" w:hAnsi="David" w:cs="David"/>
          <w:rtl/>
        </w:rPr>
        <w:fldChar w:fldCharType="separate"/>
      </w:r>
      <w:r w:rsidRPr="005F3228">
        <w:rPr>
          <w:rFonts w:ascii="David" w:hAnsi="David" w:cs="David"/>
          <w:rtl/>
        </w:rPr>
        <w:t>55</w:t>
      </w:r>
      <w:r w:rsidRPr="005F3228">
        <w:rPr>
          <w:rFonts w:ascii="David" w:hAnsi="David" w:cs="David"/>
          <w:rtl/>
        </w:rPr>
        <w:fldChar w:fldCharType="end"/>
      </w:r>
      <w:r w:rsidRPr="005F3228">
        <w:rPr>
          <w:rFonts w:ascii="David" w:hAnsi="David" w:cs="David"/>
          <w:rtl/>
        </w:rPr>
        <w:t xml:space="preserve">, שהביע הערכה דומה. ממצאי המחקר הנוכחי מאששים הערכות אלה באופן אמפירי. </w:t>
      </w:r>
    </w:p>
  </w:footnote>
  <w:footnote w:id="133">
    <w:p w14:paraId="3FBF07AF" w14:textId="5BAA42CA" w:rsidR="00F06EA1" w:rsidRPr="005F3228" w:rsidRDefault="00F06EA1" w:rsidP="00F45841">
      <w:pPr>
        <w:pStyle w:val="FootnoteText"/>
        <w:jc w:val="both"/>
        <w:rPr>
          <w:rFonts w:ascii="David" w:hAnsi="David" w:cs="David"/>
        </w:rPr>
      </w:pPr>
      <w:r w:rsidRPr="005F3228">
        <w:rPr>
          <w:rFonts w:ascii="David" w:hAnsi="David" w:cs="David"/>
          <w:vertAlign w:val="superscript"/>
        </w:rPr>
        <w:footnoteRef/>
      </w:r>
      <w:r w:rsidRPr="005F3228">
        <w:rPr>
          <w:rFonts w:ascii="David" w:hAnsi="David" w:cs="David"/>
          <w:rtl/>
        </w:rPr>
        <w:t xml:space="preserve"> ראו אייל זמיר, "שנאת הפסד ונטילת רווחי המפר בעקבות הלכת </w:t>
      </w:r>
      <w:proofErr w:type="spellStart"/>
      <w:r w:rsidRPr="005F3228">
        <w:rPr>
          <w:rFonts w:ascii="David" w:hAnsi="David" w:cs="David"/>
          <w:rtl/>
        </w:rPr>
        <w:t>אדרס</w:t>
      </w:r>
      <w:proofErr w:type="spellEnd"/>
      <w:r w:rsidRPr="005F3228">
        <w:rPr>
          <w:rFonts w:ascii="David" w:hAnsi="David" w:cs="David"/>
          <w:rtl/>
        </w:rPr>
        <w:t xml:space="preserve">", </w:t>
      </w:r>
      <w:r w:rsidRPr="005F3228">
        <w:rPr>
          <w:rFonts w:ascii="David" w:hAnsi="David" w:cs="David"/>
          <w:b/>
          <w:bCs/>
          <w:rtl/>
        </w:rPr>
        <w:t>ספר שלמה לוין</w:t>
      </w:r>
      <w:r w:rsidRPr="005F3228">
        <w:rPr>
          <w:rFonts w:ascii="David" w:hAnsi="David" w:cs="David"/>
          <w:rtl/>
        </w:rPr>
        <w:t xml:space="preserve"> 323 (אשר </w:t>
      </w:r>
      <w:proofErr w:type="spellStart"/>
      <w:r w:rsidRPr="005F3228">
        <w:rPr>
          <w:rFonts w:ascii="David" w:hAnsi="David" w:cs="David"/>
          <w:rtl/>
        </w:rPr>
        <w:t>גרוניס</w:t>
      </w:r>
      <w:proofErr w:type="spellEnd"/>
      <w:r w:rsidRPr="005F3228">
        <w:rPr>
          <w:rFonts w:ascii="David" w:hAnsi="David" w:cs="David"/>
          <w:rtl/>
        </w:rPr>
        <w:t xml:space="preserve">, אליעזר ריבלין, </w:t>
      </w:r>
      <w:proofErr w:type="spellStart"/>
      <w:r w:rsidRPr="005F3228">
        <w:rPr>
          <w:rFonts w:ascii="David" w:hAnsi="David" w:cs="David"/>
          <w:rtl/>
        </w:rPr>
        <w:t>מיכאיל</w:t>
      </w:r>
      <w:proofErr w:type="spellEnd"/>
      <w:r w:rsidRPr="005F3228">
        <w:rPr>
          <w:rFonts w:ascii="David" w:hAnsi="David" w:cs="David"/>
          <w:rtl/>
        </w:rPr>
        <w:t xml:space="preserve"> קרייני עורכים, 2013). פרופ' זמיר בוחן את השלכות</w:t>
      </w:r>
      <w:r w:rsidRPr="005F3228">
        <w:rPr>
          <w:rFonts w:ascii="David" w:hAnsi="David" w:cs="David" w:hint="cs"/>
          <w:rtl/>
        </w:rPr>
        <w:t xml:space="preserve"> ד"נ 20/82 </w:t>
      </w:r>
      <w:proofErr w:type="spellStart"/>
      <w:r w:rsidRPr="005F3228">
        <w:rPr>
          <w:rFonts w:ascii="David" w:hAnsi="David" w:cs="David" w:hint="cs"/>
          <w:b/>
          <w:bCs/>
          <w:rtl/>
        </w:rPr>
        <w:t>אדרס</w:t>
      </w:r>
      <w:proofErr w:type="spellEnd"/>
      <w:r w:rsidRPr="005F3228">
        <w:rPr>
          <w:rFonts w:ascii="David" w:hAnsi="David" w:cs="David" w:hint="cs"/>
          <w:b/>
          <w:bCs/>
          <w:rtl/>
        </w:rPr>
        <w:t xml:space="preserve"> </w:t>
      </w:r>
      <w:proofErr w:type="spellStart"/>
      <w:r w:rsidRPr="005F3228">
        <w:rPr>
          <w:rFonts w:ascii="David" w:hAnsi="David" w:cs="David" w:hint="cs"/>
          <w:b/>
          <w:bCs/>
          <w:rtl/>
        </w:rPr>
        <w:t>חמרי</w:t>
      </w:r>
      <w:proofErr w:type="spellEnd"/>
      <w:r w:rsidRPr="005F3228">
        <w:rPr>
          <w:rFonts w:ascii="David" w:hAnsi="David" w:cs="David" w:hint="cs"/>
          <w:b/>
          <w:bCs/>
          <w:rtl/>
        </w:rPr>
        <w:t xml:space="preserve"> בנין בע"מ נ' </w:t>
      </w:r>
      <w:proofErr w:type="spellStart"/>
      <w:r w:rsidRPr="005F3228">
        <w:rPr>
          <w:rFonts w:ascii="David" w:hAnsi="David" w:cs="David" w:hint="cs"/>
          <w:b/>
          <w:bCs/>
          <w:rtl/>
        </w:rPr>
        <w:t>הרלו</w:t>
      </w:r>
      <w:proofErr w:type="spellEnd"/>
      <w:r w:rsidRPr="005F3228">
        <w:rPr>
          <w:rFonts w:ascii="David" w:hAnsi="David" w:cs="David" w:hint="cs"/>
          <w:b/>
          <w:bCs/>
          <w:rtl/>
        </w:rPr>
        <w:t xml:space="preserve"> אנד ג'ונס </w:t>
      </w:r>
      <w:proofErr w:type="spellStart"/>
      <w:r w:rsidRPr="005F3228">
        <w:rPr>
          <w:rFonts w:ascii="David" w:hAnsi="David" w:cs="David" w:hint="cs"/>
          <w:b/>
          <w:bCs/>
          <w:rtl/>
        </w:rPr>
        <w:t>ג.מ.ב.ה</w:t>
      </w:r>
      <w:proofErr w:type="spellEnd"/>
      <w:r w:rsidRPr="005F3228">
        <w:rPr>
          <w:rFonts w:ascii="David" w:hAnsi="David" w:cs="David"/>
          <w:rtl/>
        </w:rPr>
        <w:t xml:space="preserve"> (1988),</w:t>
      </w:r>
      <w:r w:rsidRPr="005F3228">
        <w:rPr>
          <w:rFonts w:ascii="David" w:hAnsi="David" w:cs="David"/>
        </w:rPr>
        <w:t> </w:t>
      </w:r>
      <w:r w:rsidRPr="005F3228">
        <w:rPr>
          <w:rFonts w:ascii="David" w:hAnsi="David" w:cs="David"/>
          <w:rtl/>
        </w:rPr>
        <w:t xml:space="preserve">בו קבע בית המשפט העליון כי דיני עשיית עושר ולא במשפט חלים גם במצב בו יש מערכת יחסים חוזית בין הצדדים, וכי כתוצאה מכך נפגע מהפרת חוזה זכאי לרווחי המפר, ומגיע למסקנה כי ההלכה כמעט ואינה מיושמת בפועל. </w:t>
      </w:r>
    </w:p>
  </w:footnote>
  <w:footnote w:id="134">
    <w:p w14:paraId="1E969B91" w14:textId="77777777" w:rsidR="00F06EA1" w:rsidRPr="005F3228" w:rsidRDefault="00F06EA1" w:rsidP="000D19A0">
      <w:pPr>
        <w:pStyle w:val="FootnoteText"/>
        <w:jc w:val="both"/>
        <w:rPr>
          <w:rFonts w:ascii="David" w:hAnsi="David" w:cs="David"/>
          <w:smallCaps/>
        </w:rPr>
      </w:pPr>
      <w:r w:rsidRPr="005F3228">
        <w:rPr>
          <w:rStyle w:val="FootnoteReference"/>
          <w:rFonts w:ascii="David" w:hAnsi="David" w:cs="David"/>
        </w:rPr>
        <w:footnoteRef/>
      </w:r>
      <w:r w:rsidRPr="005F3228">
        <w:rPr>
          <w:rFonts w:ascii="David" w:hAnsi="David" w:cs="David"/>
          <w:rtl/>
        </w:rPr>
        <w:t xml:space="preserve"> ראו למשל </w:t>
      </w:r>
      <w:r w:rsidRPr="005F3228">
        <w:rPr>
          <w:rFonts w:ascii="David" w:hAnsi="David" w:cs="David"/>
        </w:rPr>
        <w:t xml:space="preserve">James Gibson, </w:t>
      </w:r>
      <w:r w:rsidRPr="005F3228">
        <w:rPr>
          <w:rFonts w:ascii="David" w:hAnsi="David" w:cs="David"/>
          <w:i/>
          <w:iCs/>
        </w:rPr>
        <w:t>R</w:t>
      </w:r>
      <w:r w:rsidRPr="005F3228">
        <w:rPr>
          <w:rStyle w:val="Emphasis"/>
          <w:rFonts w:ascii="David" w:hAnsi="David" w:cs="David"/>
          <w:i w:val="0"/>
          <w:iCs w:val="0"/>
          <w:color w:val="000000"/>
        </w:rPr>
        <w:t>isk Aversion</w:t>
      </w:r>
      <w:r w:rsidRPr="005F3228">
        <w:rPr>
          <w:rStyle w:val="apple-converted-space"/>
          <w:rFonts w:ascii="David" w:hAnsi="David" w:cs="David"/>
          <w:i/>
          <w:iCs/>
          <w:color w:val="000000"/>
        </w:rPr>
        <w:t> </w:t>
      </w:r>
      <w:r w:rsidRPr="005F3228">
        <w:rPr>
          <w:rStyle w:val="apple-style-span"/>
          <w:rFonts w:ascii="David" w:hAnsi="David" w:cs="David"/>
          <w:i/>
          <w:iCs/>
          <w:color w:val="000000"/>
        </w:rPr>
        <w:t>and Rights Accretion in Intellectual Property Law</w:t>
      </w:r>
      <w:r w:rsidRPr="005F3228">
        <w:rPr>
          <w:rStyle w:val="apple-style-span"/>
          <w:rFonts w:ascii="David" w:hAnsi="David" w:cs="David"/>
          <w:color w:val="000000"/>
        </w:rPr>
        <w:t xml:space="preserve">. 116 </w:t>
      </w:r>
      <w:r w:rsidRPr="005F3228">
        <w:rPr>
          <w:rFonts w:ascii="David" w:hAnsi="David" w:cs="David"/>
          <w:smallCaps/>
        </w:rPr>
        <w:t>Yale L.J.</w:t>
      </w:r>
      <w:r w:rsidRPr="005F3228">
        <w:rPr>
          <w:rStyle w:val="apple-style-span"/>
          <w:rFonts w:ascii="David" w:hAnsi="David" w:cs="David"/>
          <w:color w:val="000000"/>
        </w:rPr>
        <w:t xml:space="preserve"> 882 (2007); </w:t>
      </w:r>
      <w:r w:rsidRPr="005F3228">
        <w:rPr>
          <w:rFonts w:ascii="David" w:hAnsi="David" w:cs="David"/>
        </w:rPr>
        <w:t xml:space="preserve">Jennifer Rothman, </w:t>
      </w:r>
      <w:r w:rsidRPr="005F3228">
        <w:rPr>
          <w:rStyle w:val="apple-style-span"/>
          <w:rFonts w:ascii="David" w:hAnsi="David" w:cs="David"/>
          <w:i/>
          <w:iCs/>
          <w:color w:val="000000"/>
        </w:rPr>
        <w:t>The Questionable Use of Custom in Intellectual Property.</w:t>
      </w:r>
      <w:r w:rsidRPr="005F3228">
        <w:rPr>
          <w:rStyle w:val="apple-style-span"/>
          <w:rFonts w:ascii="David" w:hAnsi="David" w:cs="David"/>
          <w:color w:val="000000"/>
        </w:rPr>
        <w:t xml:space="preserve"> 93 </w:t>
      </w:r>
      <w:r w:rsidRPr="005F3228">
        <w:rPr>
          <w:rFonts w:ascii="David" w:hAnsi="David" w:cs="David"/>
          <w:smallCaps/>
        </w:rPr>
        <w:t>Va. L. Rev.</w:t>
      </w:r>
      <w:r w:rsidRPr="005F3228">
        <w:rPr>
          <w:rStyle w:val="apple-style-span"/>
          <w:rFonts w:ascii="David" w:hAnsi="David" w:cs="David"/>
          <w:color w:val="000000"/>
        </w:rPr>
        <w:t xml:space="preserve"> 1899 (2007); Gideon Parchomovsky &amp; Kevin Goldman, </w:t>
      </w:r>
      <w:r w:rsidRPr="005F3228">
        <w:rPr>
          <w:rStyle w:val="apple-style-span"/>
          <w:rFonts w:ascii="David" w:hAnsi="David" w:cs="David"/>
          <w:i/>
          <w:iCs/>
          <w:color w:val="000000"/>
        </w:rPr>
        <w:t>Fair Use Harbors</w:t>
      </w:r>
      <w:r w:rsidRPr="005F3228">
        <w:rPr>
          <w:rStyle w:val="apple-style-span"/>
          <w:rFonts w:ascii="David" w:hAnsi="David" w:cs="David"/>
          <w:color w:val="000000"/>
        </w:rPr>
        <w:t xml:space="preserve">, 93 </w:t>
      </w:r>
      <w:r w:rsidRPr="005F3228">
        <w:rPr>
          <w:rStyle w:val="apple-style-span"/>
          <w:rFonts w:ascii="David" w:hAnsi="David" w:cs="David"/>
          <w:smallCaps/>
          <w:color w:val="000000"/>
        </w:rPr>
        <w:t>Va. L. Rev.</w:t>
      </w:r>
      <w:r w:rsidRPr="005F3228">
        <w:rPr>
          <w:rStyle w:val="apple-style-span"/>
          <w:rFonts w:ascii="David" w:hAnsi="David" w:cs="David"/>
          <w:color w:val="000000"/>
        </w:rPr>
        <w:t xml:space="preserve"> 1483 (2007); Michal Shur-Ofry, </w:t>
      </w:r>
      <w:r w:rsidRPr="005F3228">
        <w:rPr>
          <w:rStyle w:val="apple-style-span"/>
          <w:rFonts w:ascii="David" w:hAnsi="David" w:cs="David"/>
          <w:i/>
          <w:iCs/>
          <w:color w:val="000000"/>
        </w:rPr>
        <w:t>Hatch-</w:t>
      </w:r>
      <w:proofErr w:type="spellStart"/>
      <w:r w:rsidRPr="005F3228">
        <w:rPr>
          <w:rStyle w:val="apple-style-span"/>
          <w:rFonts w:ascii="David" w:hAnsi="David" w:cs="David"/>
          <w:i/>
          <w:iCs/>
          <w:color w:val="000000"/>
        </w:rPr>
        <w:t>Waxmanizing</w:t>
      </w:r>
      <w:proofErr w:type="spellEnd"/>
      <w:r w:rsidRPr="005F3228">
        <w:rPr>
          <w:rStyle w:val="apple-style-span"/>
          <w:rFonts w:ascii="David" w:hAnsi="David" w:cs="David"/>
          <w:i/>
          <w:iCs/>
          <w:color w:val="000000"/>
        </w:rPr>
        <w:t xml:space="preserve"> Copyright</w:t>
      </w:r>
      <w:r w:rsidRPr="005F3228">
        <w:rPr>
          <w:rStyle w:val="apple-style-span"/>
          <w:rFonts w:ascii="David" w:hAnsi="David" w:cs="David"/>
          <w:color w:val="000000"/>
        </w:rPr>
        <w:t xml:space="preserve">, 18 </w:t>
      </w:r>
      <w:r w:rsidRPr="005F3228">
        <w:rPr>
          <w:rFonts w:ascii="David" w:hAnsi="David" w:cs="David"/>
          <w:smallCaps/>
        </w:rPr>
        <w:t>Mich. .Telecomm. &amp; Tech. L. Rev. 171 (2011</w:t>
      </w:r>
      <w:proofErr w:type="gramStart"/>
      <w:r w:rsidRPr="005F3228">
        <w:rPr>
          <w:rFonts w:ascii="David" w:hAnsi="David" w:cs="David"/>
          <w:smallCaps/>
        </w:rPr>
        <w:t>);</w:t>
      </w:r>
      <w:proofErr w:type="gramEnd"/>
    </w:p>
    <w:p w14:paraId="12DADF19" w14:textId="77777777" w:rsidR="00F06EA1" w:rsidRPr="005F3228" w:rsidRDefault="00F06EA1" w:rsidP="000D19A0">
      <w:pPr>
        <w:bidi w:val="0"/>
        <w:spacing w:after="0"/>
        <w:jc w:val="both"/>
        <w:rPr>
          <w:rFonts w:ascii="David" w:hAnsi="David" w:cs="David"/>
          <w:i/>
          <w:iCs/>
          <w:sz w:val="20"/>
          <w:szCs w:val="20"/>
        </w:rPr>
      </w:pPr>
      <w:proofErr w:type="spellStart"/>
      <w:r w:rsidRPr="005F3228">
        <w:rPr>
          <w:rStyle w:val="apple-style-span"/>
          <w:rFonts w:ascii="David" w:hAnsi="David" w:cs="David"/>
          <w:color w:val="000000"/>
          <w:sz w:val="20"/>
          <w:szCs w:val="20"/>
        </w:rPr>
        <w:t>Niva</w:t>
      </w:r>
      <w:proofErr w:type="spellEnd"/>
      <w:r w:rsidRPr="005F3228">
        <w:rPr>
          <w:rStyle w:val="apple-style-span"/>
          <w:rFonts w:ascii="David" w:hAnsi="David" w:cs="David"/>
          <w:color w:val="000000"/>
          <w:sz w:val="20"/>
          <w:szCs w:val="20"/>
          <w:rtl/>
        </w:rPr>
        <w:t xml:space="preserve"> </w:t>
      </w:r>
      <w:r w:rsidRPr="005F3228">
        <w:rPr>
          <w:rStyle w:val="apple-style-span"/>
          <w:rFonts w:ascii="David" w:hAnsi="David" w:cs="David"/>
          <w:color w:val="000000"/>
          <w:sz w:val="20"/>
          <w:szCs w:val="20"/>
        </w:rPr>
        <w:t>Elkin-Koren</w:t>
      </w:r>
      <w:r w:rsidRPr="005F3228">
        <w:rPr>
          <w:rStyle w:val="apple-style-span"/>
          <w:rFonts w:ascii="David" w:hAnsi="David" w:cs="David"/>
          <w:color w:val="000000"/>
          <w:sz w:val="20"/>
          <w:szCs w:val="20"/>
          <w:rtl/>
        </w:rPr>
        <w:t xml:space="preserve"> &amp; </w:t>
      </w:r>
      <w:r w:rsidRPr="005F3228">
        <w:rPr>
          <w:rStyle w:val="apple-style-span"/>
          <w:rFonts w:ascii="David" w:hAnsi="David" w:cs="David"/>
          <w:color w:val="000000"/>
          <w:sz w:val="20"/>
          <w:szCs w:val="20"/>
        </w:rPr>
        <w:t>Orit Fischman Afori</w:t>
      </w:r>
      <w:r w:rsidRPr="005F3228">
        <w:rPr>
          <w:rStyle w:val="apple-style-span"/>
          <w:rFonts w:ascii="David" w:hAnsi="David" w:cs="David"/>
          <w:color w:val="000000"/>
          <w:sz w:val="20"/>
          <w:szCs w:val="20"/>
          <w:rtl/>
        </w:rPr>
        <w:t xml:space="preserve">, </w:t>
      </w:r>
      <w:r w:rsidRPr="005F3228">
        <w:rPr>
          <w:rStyle w:val="apple-style-span"/>
          <w:rFonts w:ascii="David" w:hAnsi="David" w:cs="David"/>
          <w:i/>
          <w:iCs/>
          <w:color w:val="000000"/>
          <w:sz w:val="20"/>
          <w:szCs w:val="20"/>
        </w:rPr>
        <w:t>Taking Users’ Rights to the Next</w:t>
      </w:r>
      <w:r w:rsidRPr="005F3228">
        <w:rPr>
          <w:rStyle w:val="apple-style-span"/>
          <w:rFonts w:ascii="David" w:hAnsi="David" w:cs="David"/>
          <w:i/>
          <w:iCs/>
          <w:color w:val="000000"/>
          <w:sz w:val="20"/>
          <w:szCs w:val="20"/>
          <w:rtl/>
        </w:rPr>
        <w:t xml:space="preserve"> </w:t>
      </w:r>
      <w:r w:rsidRPr="005F3228">
        <w:rPr>
          <w:rStyle w:val="apple-style-span"/>
          <w:rFonts w:ascii="David" w:hAnsi="David" w:cs="David"/>
          <w:i/>
          <w:iCs/>
          <w:color w:val="000000"/>
          <w:sz w:val="20"/>
          <w:szCs w:val="20"/>
        </w:rPr>
        <w:t>Level: A Pragmatist Approach to Fair Use</w:t>
      </w:r>
      <w:r w:rsidRPr="005F3228">
        <w:rPr>
          <w:rStyle w:val="apple-style-span"/>
          <w:rFonts w:ascii="David" w:hAnsi="David" w:cs="David"/>
          <w:color w:val="000000"/>
          <w:sz w:val="20"/>
          <w:szCs w:val="20"/>
          <w:rtl/>
        </w:rPr>
        <w:t xml:space="preserve">, 33 </w:t>
      </w:r>
      <w:r w:rsidRPr="005F3228">
        <w:rPr>
          <w:rFonts w:ascii="David" w:hAnsi="David" w:cs="David"/>
          <w:smallCaps/>
          <w:sz w:val="20"/>
          <w:szCs w:val="20"/>
        </w:rPr>
        <w:t>Cardozo Arts</w:t>
      </w:r>
      <w:r w:rsidRPr="005F3228">
        <w:rPr>
          <w:rFonts w:ascii="David" w:hAnsi="David" w:cs="David"/>
          <w:smallCaps/>
          <w:sz w:val="20"/>
          <w:szCs w:val="20"/>
          <w:rtl/>
        </w:rPr>
        <w:t xml:space="preserve"> &amp; </w:t>
      </w:r>
      <w:r w:rsidRPr="005F3228">
        <w:rPr>
          <w:rFonts w:ascii="David" w:hAnsi="David" w:cs="David"/>
          <w:smallCaps/>
          <w:sz w:val="20"/>
          <w:szCs w:val="20"/>
        </w:rPr>
        <w:t>Ent. L.J</w:t>
      </w:r>
      <w:r w:rsidRPr="005F3228">
        <w:rPr>
          <w:rStyle w:val="apple-style-span"/>
          <w:rFonts w:ascii="David" w:hAnsi="David" w:cs="David"/>
          <w:color w:val="000000"/>
          <w:sz w:val="20"/>
          <w:szCs w:val="20"/>
        </w:rPr>
        <w:t>. 1</w:t>
      </w:r>
      <w:r w:rsidRPr="005F3228">
        <w:rPr>
          <w:rStyle w:val="apple-style-span"/>
          <w:rFonts w:ascii="David" w:hAnsi="David" w:cs="David"/>
          <w:color w:val="000000"/>
          <w:sz w:val="20"/>
          <w:szCs w:val="20"/>
          <w:rtl/>
        </w:rPr>
        <w:t xml:space="preserve"> .(2015).</w:t>
      </w:r>
    </w:p>
  </w:footnote>
  <w:footnote w:id="135">
    <w:p w14:paraId="71AD7841"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ראו למשל </w:t>
      </w:r>
      <w:r w:rsidRPr="005F3228">
        <w:rPr>
          <w:rStyle w:val="Emphasis"/>
          <w:rFonts w:ascii="David" w:hAnsi="David" w:cs="David"/>
          <w:color w:val="000000"/>
        </w:rPr>
        <w:t xml:space="preserve">Katya Assaf, Of Patents and Cobras: Exposing the Problem of Asymmetry, </w:t>
      </w:r>
      <w:r w:rsidRPr="005F3228">
        <w:rPr>
          <w:rStyle w:val="Emphasis"/>
          <w:rFonts w:ascii="David" w:hAnsi="David" w:cs="David"/>
          <w:i w:val="0"/>
          <w:iCs w:val="0"/>
          <w:color w:val="000000"/>
        </w:rPr>
        <w:t xml:space="preserve">35 </w:t>
      </w:r>
      <w:r w:rsidRPr="005F3228">
        <w:rPr>
          <w:rFonts w:ascii="David" w:hAnsi="David" w:cs="David"/>
          <w:smallCaps/>
        </w:rPr>
        <w:t>Cardozo Arts &amp; Ent. L. J. 1</w:t>
      </w:r>
      <w:r w:rsidRPr="005F3228">
        <w:rPr>
          <w:rStyle w:val="Emphasis"/>
          <w:rFonts w:ascii="David" w:hAnsi="David" w:cs="David"/>
          <w:color w:val="000000"/>
        </w:rPr>
        <w:t xml:space="preserve"> </w:t>
      </w:r>
      <w:r w:rsidRPr="005F3228">
        <w:rPr>
          <w:rStyle w:val="Emphasis"/>
          <w:rFonts w:ascii="David" w:hAnsi="David" w:cs="David"/>
          <w:i w:val="0"/>
          <w:iCs w:val="0"/>
          <w:color w:val="000000"/>
        </w:rPr>
        <w:t>(2016)</w:t>
      </w:r>
      <w:r w:rsidRPr="005F3228">
        <w:rPr>
          <w:rStyle w:val="Emphasis"/>
          <w:rFonts w:ascii="David" w:hAnsi="David" w:cs="David"/>
          <w:i w:val="0"/>
          <w:iCs w:val="0"/>
          <w:color w:val="000000"/>
          <w:rtl/>
        </w:rPr>
        <w:t>.</w:t>
      </w:r>
    </w:p>
  </w:footnote>
  <w:footnote w:id="136">
    <w:p w14:paraId="26EB3BF8" w14:textId="58E13E4F"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סעיף 65 לחוק העיצובים, </w:t>
      </w:r>
      <w:r w:rsidRPr="005F3228">
        <w:rPr>
          <w:rFonts w:ascii="David" w:hAnsi="David" w:cs="David"/>
          <w:b/>
          <w:bCs/>
          <w:rtl/>
        </w:rPr>
        <w:t xml:space="preserve">לעיל </w:t>
      </w:r>
      <w:r w:rsidRPr="005F3228">
        <w:rPr>
          <w:rFonts w:ascii="David" w:hAnsi="David" w:cs="David"/>
          <w:rtl/>
        </w:rPr>
        <w:t xml:space="preserve">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Ref28465732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15</w:t>
      </w:r>
      <w:r w:rsidRPr="005F3228">
        <w:rPr>
          <w:rFonts w:ascii="David" w:hAnsi="David" w:cs="David"/>
          <w:rtl/>
        </w:rPr>
        <w:fldChar w:fldCharType="end"/>
      </w:r>
      <w:r w:rsidRPr="005F3228">
        <w:rPr>
          <w:rFonts w:ascii="David" w:hAnsi="David" w:cs="David"/>
          <w:rtl/>
        </w:rPr>
        <w:t xml:space="preserve"> ("תקופת תוקפו של עיצוב לא רשום היא שלוש שנים מהמועד הקובע") בשילוב עם סעיף 1 לחוק העיצובים (בו מוגדר "המועד הקובע", ביחס לעיצוב לא רשום, כ"מועד שבו בעל העיצוב ... פרסם בציבור לראשונה את העיצוב או את המוצר נושא העיצוב, בישראל או מחוץ לישראל").</w:t>
      </w:r>
    </w:p>
  </w:footnote>
  <w:footnote w:id="137">
    <w:p w14:paraId="2968515E" w14:textId="7404105A" w:rsidR="00F06EA1" w:rsidRPr="005F3228" w:rsidRDefault="00F06EA1" w:rsidP="00C83928">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hint="eastAsia"/>
          <w:rtl/>
        </w:rPr>
        <w:t>ראו</w:t>
      </w:r>
      <w:r w:rsidRPr="005F3228">
        <w:rPr>
          <w:rFonts w:ascii="David" w:hAnsi="David" w:cs="David"/>
          <w:rtl/>
        </w:rPr>
        <w:t xml:space="preserve"> גם </w:t>
      </w:r>
      <w:proofErr w:type="spellStart"/>
      <w:r w:rsidRPr="005F3228">
        <w:rPr>
          <w:rFonts w:ascii="David" w:hAnsi="David" w:cs="David" w:hint="eastAsia"/>
          <w:rtl/>
        </w:rPr>
        <w:t>מרקוביץ</w:t>
      </w:r>
      <w:proofErr w:type="spellEnd"/>
      <w:r w:rsidRPr="005F3228">
        <w:rPr>
          <w:rFonts w:ascii="David" w:hAnsi="David" w:cs="David"/>
          <w:rtl/>
        </w:rPr>
        <w:t xml:space="preserve">', </w:t>
      </w:r>
      <w:r w:rsidRPr="005F3228">
        <w:rPr>
          <w:rFonts w:ascii="David" w:hAnsi="David" w:cs="David" w:hint="eastAsia"/>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Ref39132397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55</w:t>
      </w:r>
      <w:r w:rsidRPr="005F3228">
        <w:rPr>
          <w:rFonts w:ascii="David" w:hAnsi="David" w:cs="David"/>
          <w:rtl/>
        </w:rPr>
        <w:fldChar w:fldCharType="end"/>
      </w:r>
      <w:r w:rsidRPr="005F3228">
        <w:rPr>
          <w:rFonts w:ascii="David" w:hAnsi="David" w:cs="David"/>
          <w:rtl/>
        </w:rPr>
        <w:t xml:space="preserve">, בעמ' 66 ("עולם הקניין הרוחני עטוף וסובב כולו בעמימות שהיא תוצר של מלאכת האיזונים בין קהל היוצרים לבין נחלת הכלל"). </w:t>
      </w:r>
    </w:p>
  </w:footnote>
  <w:footnote w:id="138">
    <w:p w14:paraId="22064670" w14:textId="6828B175" w:rsidR="00F06EA1" w:rsidRPr="005F3228" w:rsidRDefault="00F06EA1" w:rsidP="00534825">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עמדת היועץ המשפטי בעניין </w:t>
      </w:r>
      <w:r w:rsidRPr="005F3228">
        <w:rPr>
          <w:rFonts w:ascii="David" w:hAnsi="David" w:cs="David"/>
        </w:rPr>
        <w:t>Fisher Price</w:t>
      </w:r>
      <w:r w:rsidRPr="005F3228">
        <w:rPr>
          <w:rFonts w:ascii="David" w:hAnsi="David" w:cs="David"/>
          <w:rtl/>
        </w:rPr>
        <w:t xml:space="preserve">,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Ref27910752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7</w:t>
      </w:r>
      <w:r w:rsidRPr="005F3228">
        <w:rPr>
          <w:rFonts w:ascii="David" w:hAnsi="David" w:cs="David"/>
          <w:rtl/>
        </w:rPr>
        <w:fldChar w:fldCharType="end"/>
      </w:r>
      <w:r w:rsidRPr="005F3228">
        <w:rPr>
          <w:rFonts w:ascii="David" w:hAnsi="David" w:cs="David"/>
          <w:rtl/>
        </w:rPr>
        <w:t>, בעמ' 12.</w:t>
      </w:r>
    </w:p>
  </w:footnote>
  <w:footnote w:id="139">
    <w:p w14:paraId="6872D76D" w14:textId="5AD962EC"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לביטוי "מתלה נורמטיבי" ראו </w:t>
      </w:r>
      <w:proofErr w:type="spellStart"/>
      <w:r w:rsidRPr="005F3228">
        <w:rPr>
          <w:rFonts w:ascii="David" w:hAnsi="David" w:cs="David"/>
          <w:b/>
          <w:bCs/>
          <w:rtl/>
        </w:rPr>
        <w:t>גרוסקופף</w:t>
      </w:r>
      <w:proofErr w:type="spellEnd"/>
      <w:r w:rsidRPr="005F3228">
        <w:rPr>
          <w:rFonts w:ascii="David" w:hAnsi="David" w:cs="David"/>
          <w:rtl/>
        </w:rPr>
        <w:t xml:space="preserve">, </w:t>
      </w:r>
      <w:r w:rsidRPr="005F3228">
        <w:rPr>
          <w:rFonts w:ascii="David" w:hAnsi="David" w:cs="David" w:hint="cs"/>
          <w:b/>
          <w:bCs/>
          <w:rtl/>
        </w:rPr>
        <w:t>לעיל</w:t>
      </w:r>
      <w:r w:rsidRPr="005F3228">
        <w:rPr>
          <w:rFonts w:ascii="David" w:hAnsi="David" w:cs="David" w:hint="cs"/>
          <w:rtl/>
        </w:rPr>
        <w:t xml:space="preserve"> </w:t>
      </w:r>
      <w:r w:rsidRPr="005F3228">
        <w:rPr>
          <w:rFonts w:ascii="David" w:hAnsi="David" w:cs="David" w:hint="eastAsia"/>
          <w:rtl/>
        </w:rPr>
        <w:t>הערה</w:t>
      </w:r>
      <w:r w:rsidRPr="005F3228">
        <w:rPr>
          <w:rFonts w:ascii="David" w:hAnsi="David" w:cs="David"/>
          <w:rtl/>
        </w:rPr>
        <w:t xml:space="preserve">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Ref39060873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6</w:t>
      </w:r>
      <w:r w:rsidRPr="005F3228">
        <w:rPr>
          <w:rFonts w:ascii="David" w:hAnsi="David" w:cs="David"/>
          <w:rtl/>
        </w:rPr>
        <w:fldChar w:fldCharType="end"/>
      </w:r>
      <w:r w:rsidRPr="005F3228">
        <w:rPr>
          <w:rFonts w:ascii="David" w:hAnsi="David" w:cs="David"/>
          <w:rtl/>
        </w:rPr>
        <w:t xml:space="preserve">, בעמ' 227-29. יוער כי הכותב מבקר את השימוש בעשיית עושר כ"מתלה נורמטיבי" ליצירת זכויות מיען קניין רוחני וטוען כי החקיקה השיפוטית בעניין זה צריכה להיות מצומצמת מאוד. ממצאי המחקר שלנו מעלים, כאמור, שהשימוש בעשיית עושר כמתלה נורמטיבי ליצירת זכויות חדשות נעשה עד היום בשני סוגי מקרים ולא מדובר בתופעה רחבה או גורפת. </w:t>
      </w:r>
    </w:p>
  </w:footnote>
  <w:footnote w:id="140">
    <w:p w14:paraId="18BF6783"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ראו הדיון בחלק ג'-1 לעיל.</w:t>
      </w:r>
    </w:p>
  </w:footnote>
  <w:footnote w:id="141">
    <w:p w14:paraId="01F2CA2F" w14:textId="77777777"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ראו הדיון בפרשית אוניפארם בחלק ג'-4 לעיל.</w:t>
      </w:r>
    </w:p>
  </w:footnote>
  <w:footnote w:id="142">
    <w:p w14:paraId="5A432C63" w14:textId="156B33F9"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ההבנה שפעולות של "הנדסה חברתית" עלולות להוליד תוצאות בלתי צפויות קיימת כבר עשורים רבים - ראו</w:t>
      </w:r>
      <w:r w:rsidRPr="005F3228">
        <w:rPr>
          <w:rFonts w:ascii="David" w:hAnsi="David" w:cs="David"/>
        </w:rPr>
        <w:t xml:space="preserve">Robert K. Merton, </w:t>
      </w:r>
      <w:r w:rsidRPr="005F3228">
        <w:rPr>
          <w:rFonts w:ascii="David" w:hAnsi="David" w:cs="David"/>
          <w:i/>
          <w:iCs/>
        </w:rPr>
        <w:t>The Unanticipated Consequences of Purposive Social Action</w:t>
      </w:r>
      <w:r w:rsidRPr="005F3228">
        <w:rPr>
          <w:rFonts w:ascii="David" w:hAnsi="David" w:cs="David"/>
        </w:rPr>
        <w:t xml:space="preserve">, 1 </w:t>
      </w:r>
      <w:r w:rsidRPr="005F3228">
        <w:rPr>
          <w:rFonts w:ascii="David" w:hAnsi="David" w:cs="David"/>
          <w:smallCaps/>
        </w:rPr>
        <w:t>Am. Soc. Rev</w:t>
      </w:r>
      <w:r w:rsidRPr="005F3228">
        <w:rPr>
          <w:rFonts w:ascii="David" w:hAnsi="David" w:cs="David"/>
        </w:rPr>
        <w:t>. 894 (1936)</w:t>
      </w:r>
      <w:r w:rsidRPr="005F3228">
        <w:rPr>
          <w:rFonts w:ascii="David" w:hAnsi="David" w:cs="David"/>
          <w:rtl/>
        </w:rPr>
        <w:t xml:space="preserve">. </w:t>
      </w:r>
      <w:r w:rsidRPr="005F3228">
        <w:rPr>
          <w:rFonts w:ascii="David" w:hAnsi="David" w:cs="David"/>
          <w:rtl/>
        </w:rPr>
        <w:t xml:space="preserve">לדיון בתופעה זו בתחום הקנין הרוחני ראו </w:t>
      </w:r>
      <w:r w:rsidRPr="005F3228">
        <w:rPr>
          <w:rFonts w:ascii="David" w:hAnsi="David" w:cs="David"/>
          <w:b/>
          <w:bCs/>
          <w:rtl/>
        </w:rPr>
        <w:t>שור-עופרי: תיאוריה של מורכבות</w:t>
      </w:r>
      <w:r w:rsidRPr="005F3228">
        <w:rPr>
          <w:rFonts w:ascii="David" w:hAnsi="David" w:cs="David"/>
          <w:rtl/>
        </w:rPr>
        <w:t xml:space="preserve">, </w:t>
      </w:r>
      <w:r w:rsidRPr="005F3228">
        <w:rPr>
          <w:rFonts w:ascii="David" w:hAnsi="David" w:cs="David"/>
          <w:b/>
          <w:bCs/>
          <w:rtl/>
        </w:rPr>
        <w:t xml:space="preserve">לעיל </w:t>
      </w:r>
      <w:r w:rsidRPr="005F3228">
        <w:rPr>
          <w:rFonts w:ascii="David" w:hAnsi="David" w:cs="David"/>
          <w:rtl/>
        </w:rPr>
        <w:t xml:space="preserve">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Ref28418083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70</w:t>
      </w:r>
      <w:r w:rsidRPr="005F3228">
        <w:rPr>
          <w:rFonts w:ascii="David" w:hAnsi="David" w:cs="David"/>
          <w:rtl/>
        </w:rPr>
        <w:fldChar w:fldCharType="end"/>
      </w:r>
      <w:r w:rsidRPr="005F3228">
        <w:rPr>
          <w:rFonts w:ascii="David" w:hAnsi="David" w:cs="David"/>
          <w:rtl/>
        </w:rPr>
        <w:t>, בעמ' 95.</w:t>
      </w:r>
    </w:p>
  </w:footnote>
  <w:footnote w:id="143">
    <w:p w14:paraId="5E0ABE76" w14:textId="77777777" w:rsidR="00F06EA1" w:rsidRPr="005F3228" w:rsidRDefault="00F06EA1" w:rsidP="000D19A0">
      <w:pPr>
        <w:spacing w:after="0" w:line="240" w:lineRule="auto"/>
        <w:jc w:val="both"/>
        <w:rPr>
          <w:rFonts w:ascii="David" w:hAnsi="David" w:cs="David"/>
          <w:sz w:val="20"/>
          <w:szCs w:val="20"/>
          <w:rtl/>
        </w:rPr>
      </w:pPr>
      <w:r w:rsidRPr="005F3228">
        <w:rPr>
          <w:rStyle w:val="FootnoteReference"/>
          <w:rFonts w:ascii="David" w:hAnsi="David" w:cs="David"/>
          <w:sz w:val="20"/>
          <w:szCs w:val="20"/>
        </w:rPr>
        <w:footnoteRef/>
      </w:r>
      <w:r w:rsidRPr="005F3228">
        <w:rPr>
          <w:rFonts w:ascii="David" w:hAnsi="David" w:cs="David"/>
          <w:sz w:val="20"/>
          <w:szCs w:val="20"/>
          <w:rtl/>
        </w:rPr>
        <w:t xml:space="preserve"> לדיון כללי בנושא כללים וסטנדרטיים ראו למשל </w:t>
      </w:r>
      <w:r w:rsidRPr="005F3228">
        <w:rPr>
          <w:rFonts w:ascii="David" w:hAnsi="David" w:cs="David"/>
          <w:sz w:val="20"/>
          <w:szCs w:val="20"/>
        </w:rPr>
        <w:t xml:space="preserve">Louis Kaplow, </w:t>
      </w:r>
      <w:r w:rsidRPr="005F3228">
        <w:rPr>
          <w:rFonts w:ascii="David" w:hAnsi="David" w:cs="David"/>
          <w:i/>
          <w:iCs/>
          <w:sz w:val="20"/>
          <w:szCs w:val="20"/>
        </w:rPr>
        <w:t>Rules Versus Standards: An Economic Analysis</w:t>
      </w:r>
      <w:r w:rsidRPr="005F3228">
        <w:rPr>
          <w:rFonts w:ascii="David" w:hAnsi="David" w:cs="David"/>
          <w:sz w:val="20"/>
          <w:szCs w:val="20"/>
        </w:rPr>
        <w:t>, 42 </w:t>
      </w:r>
      <w:r w:rsidRPr="005F3228">
        <w:rPr>
          <w:rFonts w:ascii="David" w:hAnsi="David" w:cs="David"/>
          <w:smallCaps/>
          <w:sz w:val="20"/>
          <w:szCs w:val="20"/>
        </w:rPr>
        <w:t>Duke L. J.</w:t>
      </w:r>
      <w:r w:rsidRPr="005F3228">
        <w:rPr>
          <w:rFonts w:ascii="David" w:hAnsi="David" w:cs="David"/>
          <w:sz w:val="20"/>
          <w:szCs w:val="20"/>
        </w:rPr>
        <w:t xml:space="preserve"> 557 (1992)</w:t>
      </w:r>
      <w:r w:rsidRPr="005F3228">
        <w:rPr>
          <w:rFonts w:ascii="David" w:hAnsi="David" w:cs="David"/>
          <w:sz w:val="20"/>
          <w:szCs w:val="20"/>
          <w:rtl/>
        </w:rPr>
        <w:t xml:space="preserve">. לדיון בסוגיה בהקשר של ניסוח חוזים ראו </w:t>
      </w:r>
      <w:r w:rsidRPr="005F3228">
        <w:rPr>
          <w:rFonts w:ascii="David" w:hAnsi="David" w:cs="David"/>
          <w:sz w:val="20"/>
          <w:szCs w:val="20"/>
        </w:rPr>
        <w:t xml:space="preserve">Michal Shur-Ofry &amp; Ofer Tur Sinai, </w:t>
      </w:r>
      <w:r w:rsidRPr="005F3228">
        <w:rPr>
          <w:rFonts w:ascii="David" w:hAnsi="David" w:cs="David"/>
          <w:i/>
          <w:iCs/>
          <w:sz w:val="20"/>
          <w:szCs w:val="20"/>
        </w:rPr>
        <w:t>Constructive Ambiguity: IP Licenses as a Case Study</w:t>
      </w:r>
      <w:r w:rsidRPr="005F3228">
        <w:rPr>
          <w:rFonts w:ascii="David" w:hAnsi="David" w:cs="David"/>
          <w:sz w:val="20"/>
          <w:szCs w:val="20"/>
        </w:rPr>
        <w:t xml:space="preserve">, 48 </w:t>
      </w:r>
      <w:r w:rsidRPr="005F3228">
        <w:rPr>
          <w:rFonts w:ascii="David" w:hAnsi="David" w:cs="David"/>
          <w:smallCaps/>
          <w:sz w:val="20"/>
          <w:szCs w:val="20"/>
        </w:rPr>
        <w:t>Mich. J. L. Ref.</w:t>
      </w:r>
      <w:r w:rsidRPr="005F3228">
        <w:rPr>
          <w:rFonts w:ascii="David" w:hAnsi="David" w:cs="David"/>
          <w:sz w:val="20"/>
          <w:szCs w:val="20"/>
        </w:rPr>
        <w:t xml:space="preserve"> 391 (2015)</w:t>
      </w:r>
      <w:r w:rsidRPr="005F3228">
        <w:rPr>
          <w:rFonts w:ascii="David" w:hAnsi="David" w:cs="David"/>
          <w:sz w:val="20"/>
          <w:szCs w:val="20"/>
          <w:rtl/>
        </w:rPr>
        <w:t>.</w:t>
      </w:r>
    </w:p>
  </w:footnote>
  <w:footnote w:id="144">
    <w:p w14:paraId="5D39A64F" w14:textId="6B5507DB" w:rsidR="00F06EA1" w:rsidRPr="005F3228" w:rsidRDefault="00F06EA1" w:rsidP="000D19A0">
      <w:pPr>
        <w:pStyle w:val="FootnoteText"/>
        <w:jc w:val="both"/>
        <w:rPr>
          <w:rFonts w:ascii="David" w:hAnsi="David" w:cs="David"/>
          <w:rtl/>
        </w:rPr>
      </w:pPr>
      <w:r w:rsidRPr="005F3228">
        <w:rPr>
          <w:rFonts w:ascii="David" w:hAnsi="David" w:cs="David"/>
          <w:vertAlign w:val="superscript"/>
        </w:rPr>
        <w:footnoteRef/>
      </w:r>
      <w:r w:rsidRPr="005F3228">
        <w:rPr>
          <w:rFonts w:ascii="David" w:hAnsi="David" w:cs="David"/>
          <w:rtl/>
        </w:rPr>
        <w:t xml:space="preserve"> לחשיבות היכולת של מערכות מורכבת להסתגל לשינויים, לרבות שינויים בלתי צפויים, ולחוסן (</w:t>
      </w:r>
      <w:r w:rsidRPr="005F3228">
        <w:rPr>
          <w:rFonts w:ascii="David" w:hAnsi="David" w:cs="David"/>
        </w:rPr>
        <w:t>anti-fragility</w:t>
      </w:r>
      <w:r w:rsidRPr="005F3228">
        <w:rPr>
          <w:rFonts w:ascii="David" w:hAnsi="David" w:cs="David"/>
          <w:rtl/>
        </w:rPr>
        <w:t xml:space="preserve">) שהדבר מקנה להן, ראו באופן כללי </w:t>
      </w:r>
      <w:r w:rsidRPr="005F3228">
        <w:rPr>
          <w:rFonts w:ascii="David" w:hAnsi="David" w:cs="David"/>
          <w:smallCaps/>
        </w:rPr>
        <w:t xml:space="preserve">Nassim </w:t>
      </w:r>
      <w:proofErr w:type="spellStart"/>
      <w:r w:rsidRPr="005F3228">
        <w:rPr>
          <w:rFonts w:ascii="David" w:hAnsi="David" w:cs="David"/>
          <w:smallCaps/>
        </w:rPr>
        <w:t>Taleb</w:t>
      </w:r>
      <w:proofErr w:type="spellEnd"/>
      <w:r w:rsidRPr="005F3228">
        <w:rPr>
          <w:rFonts w:ascii="David" w:hAnsi="David" w:cs="David"/>
          <w:smallCaps/>
        </w:rPr>
        <w:t>, Anti-Fragile: Things that Gain from Disorder (2012)</w:t>
      </w:r>
      <w:r w:rsidRPr="005F3228">
        <w:rPr>
          <w:rFonts w:ascii="David" w:hAnsi="David" w:cs="David"/>
          <w:smallCaps/>
          <w:rtl/>
        </w:rPr>
        <w:t xml:space="preserve"> </w:t>
      </w:r>
      <w:r w:rsidRPr="005F3228">
        <w:rPr>
          <w:rFonts w:ascii="David" w:hAnsi="David" w:cs="David"/>
          <w:smallCaps/>
          <w:rtl/>
        </w:rPr>
        <w:pgNum/>
      </w:r>
      <w:r w:rsidRPr="005F3228">
        <w:rPr>
          <w:rFonts w:ascii="David" w:hAnsi="David" w:cs="David"/>
          <w:rtl/>
        </w:rPr>
        <w:t xml:space="preserve">. </w:t>
      </w:r>
      <w:r w:rsidRPr="005F3228">
        <w:rPr>
          <w:rFonts w:ascii="David" w:hAnsi="David" w:cs="David"/>
          <w:rtl/>
        </w:rPr>
        <w:t xml:space="preserve">לדיון בסוגיה זו בהקשר של ניסוח חוזים ראו שור עופרי וטור סיני, </w:t>
      </w:r>
      <w:r w:rsidRPr="005F3228">
        <w:rPr>
          <w:rFonts w:ascii="David" w:hAnsi="David" w:cs="David"/>
          <w:b/>
          <w:bCs/>
          <w:rtl/>
        </w:rPr>
        <w:t>לעיל</w:t>
      </w:r>
      <w:r w:rsidRPr="005F3228">
        <w:rPr>
          <w:rFonts w:ascii="David" w:hAnsi="David" w:cs="David"/>
          <w:rtl/>
        </w:rPr>
        <w:t xml:space="preserve"> הערה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Ref28467600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141</w:t>
      </w:r>
      <w:r w:rsidRPr="005F3228">
        <w:rPr>
          <w:rFonts w:ascii="David" w:hAnsi="David" w:cs="David"/>
          <w:rtl/>
        </w:rPr>
        <w:fldChar w:fldCharType="end"/>
      </w:r>
      <w:r w:rsidRPr="005F3228">
        <w:rPr>
          <w:rFonts w:ascii="David" w:hAnsi="David" w:cs="David"/>
          <w:rtl/>
        </w:rPr>
        <w:t>, בעמודים 410-12.</w:t>
      </w:r>
    </w:p>
  </w:footnote>
  <w:footnote w:id="145">
    <w:p w14:paraId="07ADFEB1" w14:textId="64CAB696" w:rsidR="00F06EA1" w:rsidRPr="005F3228" w:rsidRDefault="00F06EA1" w:rsidP="000D19A0">
      <w:pPr>
        <w:pStyle w:val="FootnoteText"/>
        <w:jc w:val="both"/>
        <w:rPr>
          <w:rFonts w:ascii="David" w:hAnsi="David" w:cs="David"/>
        </w:rPr>
      </w:pPr>
      <w:r w:rsidRPr="005F3228">
        <w:rPr>
          <w:rStyle w:val="FootnoteReference"/>
          <w:rFonts w:ascii="David" w:hAnsi="David" w:cs="David"/>
        </w:rPr>
        <w:footnoteRef/>
      </w:r>
      <w:r w:rsidRPr="005F3228">
        <w:rPr>
          <w:rFonts w:ascii="David" w:hAnsi="David" w:cs="David"/>
          <w:rtl/>
        </w:rPr>
        <w:t xml:space="preserve"> </w:t>
      </w:r>
      <w:r w:rsidRPr="005F3228">
        <w:rPr>
          <w:rFonts w:ascii="David" w:hAnsi="David" w:cs="David"/>
          <w:rtl/>
        </w:rPr>
        <w:t xml:space="preserve">ראו </w:t>
      </w:r>
      <w:r w:rsidRPr="005F3228">
        <w:rPr>
          <w:rFonts w:ascii="David" w:hAnsi="David" w:cs="David"/>
          <w:b/>
          <w:bCs/>
          <w:rtl/>
        </w:rPr>
        <w:t>להלן</w:t>
      </w:r>
      <w:r w:rsidRPr="005F3228">
        <w:rPr>
          <w:rFonts w:ascii="David" w:hAnsi="David" w:cs="David"/>
          <w:rtl/>
        </w:rPr>
        <w:t xml:space="preserve">, הערות </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Ref28248544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66</w:t>
      </w:r>
      <w:r w:rsidRPr="005F3228">
        <w:rPr>
          <w:rFonts w:ascii="David" w:hAnsi="David" w:cs="David"/>
          <w:rtl/>
        </w:rPr>
        <w:fldChar w:fldCharType="end"/>
      </w:r>
      <w:r w:rsidRPr="005F3228">
        <w:rPr>
          <w:rFonts w:ascii="David" w:hAnsi="David" w:cs="David"/>
          <w:rtl/>
        </w:rPr>
        <w:t>-</w:t>
      </w:r>
      <w:r w:rsidRPr="005F3228">
        <w:rPr>
          <w:rFonts w:ascii="David" w:hAnsi="David" w:cs="David"/>
          <w:rtl/>
        </w:rPr>
        <w:fldChar w:fldCharType="begin"/>
      </w:r>
      <w:r w:rsidRPr="005F3228">
        <w:rPr>
          <w:rFonts w:ascii="David" w:hAnsi="David" w:cs="David"/>
          <w:rtl/>
        </w:rPr>
        <w:instrText xml:space="preserve"> </w:instrText>
      </w:r>
      <w:r w:rsidRPr="005F3228">
        <w:rPr>
          <w:rFonts w:ascii="David" w:hAnsi="David" w:cs="David"/>
        </w:rPr>
        <w:instrText>NOTEREF</w:instrText>
      </w:r>
      <w:r w:rsidRPr="005F3228">
        <w:rPr>
          <w:rFonts w:ascii="David" w:hAnsi="David" w:cs="David"/>
          <w:rtl/>
        </w:rPr>
        <w:instrText xml:space="preserve"> _</w:instrText>
      </w:r>
      <w:r w:rsidRPr="005F3228">
        <w:rPr>
          <w:rFonts w:ascii="David" w:hAnsi="David" w:cs="David"/>
        </w:rPr>
        <w:instrText>Ref28324828 \h</w:instrText>
      </w:r>
      <w:r w:rsidRPr="005F3228">
        <w:rPr>
          <w:rFonts w:ascii="David" w:hAnsi="David" w:cs="David"/>
          <w:rtl/>
        </w:rPr>
        <w:instrText xml:space="preserve">  \* </w:instrText>
      </w:r>
      <w:r w:rsidRPr="005F3228">
        <w:rPr>
          <w:rFonts w:ascii="David" w:hAnsi="David" w:cs="David"/>
        </w:rPr>
        <w:instrText>MERGEFORMAT</w:instrText>
      </w:r>
      <w:r w:rsidRPr="005F3228">
        <w:rPr>
          <w:rFonts w:ascii="David" w:hAnsi="David" w:cs="David"/>
          <w:rtl/>
        </w:rPr>
        <w:instrText xml:space="preserve"> </w:instrText>
      </w:r>
      <w:r w:rsidRPr="005F3228">
        <w:rPr>
          <w:rFonts w:ascii="David" w:hAnsi="David" w:cs="David"/>
          <w:rtl/>
        </w:rPr>
      </w:r>
      <w:r w:rsidRPr="005F3228">
        <w:rPr>
          <w:rFonts w:ascii="David" w:hAnsi="David" w:cs="David"/>
          <w:rtl/>
        </w:rPr>
        <w:fldChar w:fldCharType="separate"/>
      </w:r>
      <w:r w:rsidRPr="005F3228">
        <w:rPr>
          <w:rFonts w:ascii="David" w:hAnsi="David" w:cs="David"/>
          <w:rtl/>
        </w:rPr>
        <w:t>78</w:t>
      </w:r>
      <w:r w:rsidRPr="005F3228">
        <w:rPr>
          <w:rFonts w:ascii="David" w:hAnsi="David" w:cs="David"/>
          <w:rtl/>
        </w:rPr>
        <w:fldChar w:fldCharType="end"/>
      </w:r>
      <w:r w:rsidRPr="005F3228">
        <w:rPr>
          <w:rFonts w:ascii="David" w:hAnsi="David" w:cs="David"/>
          <w:rtl/>
        </w:rPr>
        <w:t xml:space="preserve"> </w:t>
      </w:r>
      <w:proofErr w:type="spellStart"/>
      <w:r w:rsidRPr="005F3228">
        <w:rPr>
          <w:rFonts w:ascii="David" w:hAnsi="David" w:cs="David"/>
          <w:rtl/>
        </w:rPr>
        <w:t>והטכסט</w:t>
      </w:r>
      <w:proofErr w:type="spellEnd"/>
      <w:r w:rsidRPr="005F3228">
        <w:rPr>
          <w:rFonts w:ascii="David" w:hAnsi="David" w:cs="David"/>
          <w:rtl/>
        </w:rPr>
        <w:t xml:space="preserve"> לידן.</w:t>
      </w:r>
    </w:p>
  </w:footnote>
  <w:footnote w:id="146">
    <w:p w14:paraId="3910858C" w14:textId="77777777" w:rsidR="00F06EA1" w:rsidRPr="002639F5" w:rsidRDefault="00F06EA1" w:rsidP="000D19A0">
      <w:pPr>
        <w:pStyle w:val="FootnoteText"/>
        <w:jc w:val="both"/>
        <w:rPr>
          <w:rFonts w:ascii="David" w:hAnsi="David" w:cs="David"/>
          <w:rtl/>
        </w:rPr>
      </w:pPr>
      <w:r w:rsidRPr="005F3228">
        <w:rPr>
          <w:rStyle w:val="FootnoteReference"/>
          <w:rFonts w:ascii="David" w:hAnsi="David" w:cs="David"/>
        </w:rPr>
        <w:footnoteRef/>
      </w:r>
      <w:r w:rsidRPr="005F3228">
        <w:rPr>
          <w:rFonts w:ascii="David" w:hAnsi="David" w:cs="David"/>
          <w:rtl/>
        </w:rPr>
        <w:t xml:space="preserve"> סעיף 1 לחוק עוולות מסחריות, תשנ"ט-1999.</w:t>
      </w:r>
      <w:r w:rsidRPr="002639F5">
        <w:rPr>
          <w:rFonts w:ascii="David" w:hAnsi="David" w:cs="David"/>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7C4"/>
    <w:multiLevelType w:val="hybridMultilevel"/>
    <w:tmpl w:val="F9942E62"/>
    <w:lvl w:ilvl="0" w:tplc="29C606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3ED1"/>
    <w:multiLevelType w:val="hybridMultilevel"/>
    <w:tmpl w:val="553C4796"/>
    <w:lvl w:ilvl="0" w:tplc="04090001">
      <w:start w:val="1"/>
      <w:numFmt w:val="bullet"/>
      <w:lvlText w:val=""/>
      <w:lvlJc w:val="left"/>
      <w:pPr>
        <w:ind w:left="630" w:hanging="360"/>
      </w:pPr>
      <w:rPr>
        <w:rFonts w:ascii="Symbol" w:hAnsi="Symbol" w:hint="default"/>
        <w:b w:val="0"/>
        <w:u w:val="none"/>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31331"/>
    <w:multiLevelType w:val="hybridMultilevel"/>
    <w:tmpl w:val="9A2E54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A00A58"/>
    <w:multiLevelType w:val="hybridMultilevel"/>
    <w:tmpl w:val="237CD8DC"/>
    <w:lvl w:ilvl="0" w:tplc="28D62416">
      <w:start w:val="1"/>
      <w:numFmt w:val="bullet"/>
      <w:lvlText w:val=""/>
      <w:lvlJc w:val="left"/>
      <w:pPr>
        <w:tabs>
          <w:tab w:val="num" w:pos="720"/>
        </w:tabs>
        <w:ind w:left="720" w:hanging="360"/>
      </w:pPr>
      <w:rPr>
        <w:rFonts w:ascii="Wingdings" w:hAnsi="Wingdings" w:hint="default"/>
      </w:rPr>
    </w:lvl>
    <w:lvl w:ilvl="1" w:tplc="BE8800E8">
      <w:start w:val="1"/>
      <w:numFmt w:val="bullet"/>
      <w:lvlText w:val=""/>
      <w:lvlJc w:val="left"/>
      <w:pPr>
        <w:tabs>
          <w:tab w:val="num" w:pos="1440"/>
        </w:tabs>
        <w:ind w:left="1440" w:hanging="360"/>
      </w:pPr>
      <w:rPr>
        <w:rFonts w:ascii="Wingdings" w:hAnsi="Wingdings" w:hint="default"/>
      </w:rPr>
    </w:lvl>
    <w:lvl w:ilvl="2" w:tplc="0D92D740" w:tentative="1">
      <w:start w:val="1"/>
      <w:numFmt w:val="bullet"/>
      <w:lvlText w:val=""/>
      <w:lvlJc w:val="left"/>
      <w:pPr>
        <w:tabs>
          <w:tab w:val="num" w:pos="2160"/>
        </w:tabs>
        <w:ind w:left="2160" w:hanging="360"/>
      </w:pPr>
      <w:rPr>
        <w:rFonts w:ascii="Wingdings" w:hAnsi="Wingdings" w:hint="default"/>
      </w:rPr>
    </w:lvl>
    <w:lvl w:ilvl="3" w:tplc="7128AEEA" w:tentative="1">
      <w:start w:val="1"/>
      <w:numFmt w:val="bullet"/>
      <w:lvlText w:val=""/>
      <w:lvlJc w:val="left"/>
      <w:pPr>
        <w:tabs>
          <w:tab w:val="num" w:pos="2880"/>
        </w:tabs>
        <w:ind w:left="2880" w:hanging="360"/>
      </w:pPr>
      <w:rPr>
        <w:rFonts w:ascii="Wingdings" w:hAnsi="Wingdings" w:hint="default"/>
      </w:rPr>
    </w:lvl>
    <w:lvl w:ilvl="4" w:tplc="B1E643C0" w:tentative="1">
      <w:start w:val="1"/>
      <w:numFmt w:val="bullet"/>
      <w:lvlText w:val=""/>
      <w:lvlJc w:val="left"/>
      <w:pPr>
        <w:tabs>
          <w:tab w:val="num" w:pos="3600"/>
        </w:tabs>
        <w:ind w:left="3600" w:hanging="360"/>
      </w:pPr>
      <w:rPr>
        <w:rFonts w:ascii="Wingdings" w:hAnsi="Wingdings" w:hint="default"/>
      </w:rPr>
    </w:lvl>
    <w:lvl w:ilvl="5" w:tplc="8FB23BF2" w:tentative="1">
      <w:start w:val="1"/>
      <w:numFmt w:val="bullet"/>
      <w:lvlText w:val=""/>
      <w:lvlJc w:val="left"/>
      <w:pPr>
        <w:tabs>
          <w:tab w:val="num" w:pos="4320"/>
        </w:tabs>
        <w:ind w:left="4320" w:hanging="360"/>
      </w:pPr>
      <w:rPr>
        <w:rFonts w:ascii="Wingdings" w:hAnsi="Wingdings" w:hint="default"/>
      </w:rPr>
    </w:lvl>
    <w:lvl w:ilvl="6" w:tplc="06C2BBB2" w:tentative="1">
      <w:start w:val="1"/>
      <w:numFmt w:val="bullet"/>
      <w:lvlText w:val=""/>
      <w:lvlJc w:val="left"/>
      <w:pPr>
        <w:tabs>
          <w:tab w:val="num" w:pos="5040"/>
        </w:tabs>
        <w:ind w:left="5040" w:hanging="360"/>
      </w:pPr>
      <w:rPr>
        <w:rFonts w:ascii="Wingdings" w:hAnsi="Wingdings" w:hint="default"/>
      </w:rPr>
    </w:lvl>
    <w:lvl w:ilvl="7" w:tplc="23C243B0" w:tentative="1">
      <w:start w:val="1"/>
      <w:numFmt w:val="bullet"/>
      <w:lvlText w:val=""/>
      <w:lvlJc w:val="left"/>
      <w:pPr>
        <w:tabs>
          <w:tab w:val="num" w:pos="5760"/>
        </w:tabs>
        <w:ind w:left="5760" w:hanging="360"/>
      </w:pPr>
      <w:rPr>
        <w:rFonts w:ascii="Wingdings" w:hAnsi="Wingdings" w:hint="default"/>
      </w:rPr>
    </w:lvl>
    <w:lvl w:ilvl="8" w:tplc="0A9090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A7A46"/>
    <w:multiLevelType w:val="hybridMultilevel"/>
    <w:tmpl w:val="7FCAFD1A"/>
    <w:lvl w:ilvl="0" w:tplc="AC9A08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C2654"/>
    <w:multiLevelType w:val="hybridMultilevel"/>
    <w:tmpl w:val="C0C266EA"/>
    <w:lvl w:ilvl="0" w:tplc="73BA3E6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33EA4"/>
    <w:multiLevelType w:val="hybridMultilevel"/>
    <w:tmpl w:val="D5745A88"/>
    <w:lvl w:ilvl="0" w:tplc="78B2BC7A">
      <w:start w:val="1"/>
      <w:numFmt w:val="bullet"/>
      <w:lvlText w:val=""/>
      <w:lvlJc w:val="left"/>
      <w:pPr>
        <w:tabs>
          <w:tab w:val="num" w:pos="720"/>
        </w:tabs>
        <w:ind w:left="720" w:hanging="360"/>
      </w:pPr>
      <w:rPr>
        <w:rFonts w:ascii="Wingdings" w:hAnsi="Wingdings" w:hint="default"/>
      </w:rPr>
    </w:lvl>
    <w:lvl w:ilvl="1" w:tplc="33BE7158">
      <w:start w:val="1"/>
      <w:numFmt w:val="bullet"/>
      <w:lvlText w:val=""/>
      <w:lvlJc w:val="left"/>
      <w:pPr>
        <w:tabs>
          <w:tab w:val="num" w:pos="1440"/>
        </w:tabs>
        <w:ind w:left="1440" w:hanging="360"/>
      </w:pPr>
      <w:rPr>
        <w:rFonts w:ascii="Wingdings" w:hAnsi="Wingdings" w:hint="default"/>
      </w:rPr>
    </w:lvl>
    <w:lvl w:ilvl="2" w:tplc="CA5A7324" w:tentative="1">
      <w:start w:val="1"/>
      <w:numFmt w:val="bullet"/>
      <w:lvlText w:val=""/>
      <w:lvlJc w:val="left"/>
      <w:pPr>
        <w:tabs>
          <w:tab w:val="num" w:pos="2160"/>
        </w:tabs>
        <w:ind w:left="2160" w:hanging="360"/>
      </w:pPr>
      <w:rPr>
        <w:rFonts w:ascii="Wingdings" w:hAnsi="Wingdings" w:hint="default"/>
      </w:rPr>
    </w:lvl>
    <w:lvl w:ilvl="3" w:tplc="CF2C6DC0" w:tentative="1">
      <w:start w:val="1"/>
      <w:numFmt w:val="bullet"/>
      <w:lvlText w:val=""/>
      <w:lvlJc w:val="left"/>
      <w:pPr>
        <w:tabs>
          <w:tab w:val="num" w:pos="2880"/>
        </w:tabs>
        <w:ind w:left="2880" w:hanging="360"/>
      </w:pPr>
      <w:rPr>
        <w:rFonts w:ascii="Wingdings" w:hAnsi="Wingdings" w:hint="default"/>
      </w:rPr>
    </w:lvl>
    <w:lvl w:ilvl="4" w:tplc="F92A720C" w:tentative="1">
      <w:start w:val="1"/>
      <w:numFmt w:val="bullet"/>
      <w:lvlText w:val=""/>
      <w:lvlJc w:val="left"/>
      <w:pPr>
        <w:tabs>
          <w:tab w:val="num" w:pos="3600"/>
        </w:tabs>
        <w:ind w:left="3600" w:hanging="360"/>
      </w:pPr>
      <w:rPr>
        <w:rFonts w:ascii="Wingdings" w:hAnsi="Wingdings" w:hint="default"/>
      </w:rPr>
    </w:lvl>
    <w:lvl w:ilvl="5" w:tplc="D03AD9CC" w:tentative="1">
      <w:start w:val="1"/>
      <w:numFmt w:val="bullet"/>
      <w:lvlText w:val=""/>
      <w:lvlJc w:val="left"/>
      <w:pPr>
        <w:tabs>
          <w:tab w:val="num" w:pos="4320"/>
        </w:tabs>
        <w:ind w:left="4320" w:hanging="360"/>
      </w:pPr>
      <w:rPr>
        <w:rFonts w:ascii="Wingdings" w:hAnsi="Wingdings" w:hint="default"/>
      </w:rPr>
    </w:lvl>
    <w:lvl w:ilvl="6" w:tplc="0B38D6AE" w:tentative="1">
      <w:start w:val="1"/>
      <w:numFmt w:val="bullet"/>
      <w:lvlText w:val=""/>
      <w:lvlJc w:val="left"/>
      <w:pPr>
        <w:tabs>
          <w:tab w:val="num" w:pos="5040"/>
        </w:tabs>
        <w:ind w:left="5040" w:hanging="360"/>
      </w:pPr>
      <w:rPr>
        <w:rFonts w:ascii="Wingdings" w:hAnsi="Wingdings" w:hint="default"/>
      </w:rPr>
    </w:lvl>
    <w:lvl w:ilvl="7" w:tplc="66DCA484" w:tentative="1">
      <w:start w:val="1"/>
      <w:numFmt w:val="bullet"/>
      <w:lvlText w:val=""/>
      <w:lvlJc w:val="left"/>
      <w:pPr>
        <w:tabs>
          <w:tab w:val="num" w:pos="5760"/>
        </w:tabs>
        <w:ind w:left="5760" w:hanging="360"/>
      </w:pPr>
      <w:rPr>
        <w:rFonts w:ascii="Wingdings" w:hAnsi="Wingdings" w:hint="default"/>
      </w:rPr>
    </w:lvl>
    <w:lvl w:ilvl="8" w:tplc="EF38D3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718F3"/>
    <w:multiLevelType w:val="multilevel"/>
    <w:tmpl w:val="BD10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83E43"/>
    <w:multiLevelType w:val="hybridMultilevel"/>
    <w:tmpl w:val="41DC229C"/>
    <w:lvl w:ilvl="0" w:tplc="F86026D0">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980D21"/>
    <w:multiLevelType w:val="hybridMultilevel"/>
    <w:tmpl w:val="993C16FA"/>
    <w:lvl w:ilvl="0" w:tplc="6CC67CB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E72ED4"/>
    <w:multiLevelType w:val="hybridMultilevel"/>
    <w:tmpl w:val="AFF4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566AD"/>
    <w:multiLevelType w:val="hybridMultilevel"/>
    <w:tmpl w:val="7124EA08"/>
    <w:lvl w:ilvl="0" w:tplc="0409000F">
      <w:start w:val="1"/>
      <w:numFmt w:val="decimal"/>
      <w:lvlText w:val="%1."/>
      <w:lvlJc w:val="left"/>
      <w:pPr>
        <w:ind w:left="630" w:hanging="360"/>
      </w:pPr>
      <w:rPr>
        <w:rFonts w:hint="default"/>
        <w:b w:val="0"/>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82392"/>
    <w:multiLevelType w:val="hybridMultilevel"/>
    <w:tmpl w:val="6C069186"/>
    <w:lvl w:ilvl="0" w:tplc="0409000F">
      <w:start w:val="1"/>
      <w:numFmt w:val="decimal"/>
      <w:lvlText w:val="%1."/>
      <w:lvlJc w:val="left"/>
      <w:pPr>
        <w:ind w:left="630" w:hanging="360"/>
      </w:pPr>
      <w:rPr>
        <w:rFonts w:hint="default"/>
        <w:b w:val="0"/>
        <w:u w:val="none"/>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E7474"/>
    <w:multiLevelType w:val="hybridMultilevel"/>
    <w:tmpl w:val="96862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E16D7"/>
    <w:multiLevelType w:val="hybridMultilevel"/>
    <w:tmpl w:val="5768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D6A0C"/>
    <w:multiLevelType w:val="hybridMultilevel"/>
    <w:tmpl w:val="FAE0E9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D331B"/>
    <w:multiLevelType w:val="hybridMultilevel"/>
    <w:tmpl w:val="D8D61DDA"/>
    <w:lvl w:ilvl="0" w:tplc="7BA27DB4">
      <w:numFmt w:val="bullet"/>
      <w:lvlText w:val="-"/>
      <w:lvlJc w:val="left"/>
      <w:pPr>
        <w:ind w:left="408" w:hanging="360"/>
      </w:pPr>
      <w:rPr>
        <w:rFonts w:ascii="David" w:eastAsiaTheme="minorHAnsi" w:hAnsi="David" w:cs="David"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2"/>
  </w:num>
  <w:num w:numId="2">
    <w:abstractNumId w:val="9"/>
  </w:num>
  <w:num w:numId="3">
    <w:abstractNumId w:val="13"/>
  </w:num>
  <w:num w:numId="4">
    <w:abstractNumId w:val="15"/>
  </w:num>
  <w:num w:numId="5">
    <w:abstractNumId w:val="16"/>
  </w:num>
  <w:num w:numId="6">
    <w:abstractNumId w:val="0"/>
  </w:num>
  <w:num w:numId="7">
    <w:abstractNumId w:val="10"/>
  </w:num>
  <w:num w:numId="8">
    <w:abstractNumId w:val="8"/>
  </w:num>
  <w:num w:numId="9">
    <w:abstractNumId w:val="11"/>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3"/>
  </w:num>
  <w:num w:numId="15">
    <w:abstractNumId w:val="7"/>
  </w:num>
  <w:num w:numId="16">
    <w:abstractNumId w:val="14"/>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FC"/>
    <w:rsid w:val="00001316"/>
    <w:rsid w:val="00001F5A"/>
    <w:rsid w:val="0000511F"/>
    <w:rsid w:val="00005E30"/>
    <w:rsid w:val="00007C89"/>
    <w:rsid w:val="0001054D"/>
    <w:rsid w:val="0001139C"/>
    <w:rsid w:val="00011409"/>
    <w:rsid w:val="00011ACB"/>
    <w:rsid w:val="00011DE7"/>
    <w:rsid w:val="000130D8"/>
    <w:rsid w:val="00020E41"/>
    <w:rsid w:val="000230FF"/>
    <w:rsid w:val="00024A47"/>
    <w:rsid w:val="00025123"/>
    <w:rsid w:val="00025D1D"/>
    <w:rsid w:val="00025F60"/>
    <w:rsid w:val="0003207D"/>
    <w:rsid w:val="0003209A"/>
    <w:rsid w:val="000320AD"/>
    <w:rsid w:val="00034DD2"/>
    <w:rsid w:val="00037E7A"/>
    <w:rsid w:val="00041E21"/>
    <w:rsid w:val="00050366"/>
    <w:rsid w:val="00053D2F"/>
    <w:rsid w:val="00054432"/>
    <w:rsid w:val="00055676"/>
    <w:rsid w:val="00057007"/>
    <w:rsid w:val="00057A61"/>
    <w:rsid w:val="000604A7"/>
    <w:rsid w:val="000615D2"/>
    <w:rsid w:val="0006171E"/>
    <w:rsid w:val="00062380"/>
    <w:rsid w:val="00062E56"/>
    <w:rsid w:val="00065B81"/>
    <w:rsid w:val="00066B35"/>
    <w:rsid w:val="00067226"/>
    <w:rsid w:val="00072FB5"/>
    <w:rsid w:val="00074D6A"/>
    <w:rsid w:val="00075C92"/>
    <w:rsid w:val="0007763A"/>
    <w:rsid w:val="00080682"/>
    <w:rsid w:val="0008221A"/>
    <w:rsid w:val="00083649"/>
    <w:rsid w:val="0008395D"/>
    <w:rsid w:val="00084EEA"/>
    <w:rsid w:val="00086C25"/>
    <w:rsid w:val="000873F1"/>
    <w:rsid w:val="00090A2C"/>
    <w:rsid w:val="00091924"/>
    <w:rsid w:val="00094ABF"/>
    <w:rsid w:val="00095A31"/>
    <w:rsid w:val="000A00D2"/>
    <w:rsid w:val="000A05D6"/>
    <w:rsid w:val="000A1992"/>
    <w:rsid w:val="000A1DC0"/>
    <w:rsid w:val="000A5A97"/>
    <w:rsid w:val="000A6D65"/>
    <w:rsid w:val="000A7238"/>
    <w:rsid w:val="000A737A"/>
    <w:rsid w:val="000A75BA"/>
    <w:rsid w:val="000B0C4A"/>
    <w:rsid w:val="000B193D"/>
    <w:rsid w:val="000B2C0F"/>
    <w:rsid w:val="000B2E71"/>
    <w:rsid w:val="000B5231"/>
    <w:rsid w:val="000B5448"/>
    <w:rsid w:val="000B6309"/>
    <w:rsid w:val="000B6405"/>
    <w:rsid w:val="000B66F5"/>
    <w:rsid w:val="000B744F"/>
    <w:rsid w:val="000C0E72"/>
    <w:rsid w:val="000C2AE9"/>
    <w:rsid w:val="000C433D"/>
    <w:rsid w:val="000C46C2"/>
    <w:rsid w:val="000C6D38"/>
    <w:rsid w:val="000C750B"/>
    <w:rsid w:val="000D06FF"/>
    <w:rsid w:val="000D19A0"/>
    <w:rsid w:val="000D2AEA"/>
    <w:rsid w:val="000D4A3F"/>
    <w:rsid w:val="000D6D69"/>
    <w:rsid w:val="000E1A5F"/>
    <w:rsid w:val="000E224E"/>
    <w:rsid w:val="000E3C81"/>
    <w:rsid w:val="000E5068"/>
    <w:rsid w:val="000E5B64"/>
    <w:rsid w:val="000E6D62"/>
    <w:rsid w:val="000F4761"/>
    <w:rsid w:val="000F549C"/>
    <w:rsid w:val="000F64B2"/>
    <w:rsid w:val="000F655E"/>
    <w:rsid w:val="0010089C"/>
    <w:rsid w:val="00104F6D"/>
    <w:rsid w:val="00105318"/>
    <w:rsid w:val="00105589"/>
    <w:rsid w:val="00105CAE"/>
    <w:rsid w:val="0010633A"/>
    <w:rsid w:val="00107AF5"/>
    <w:rsid w:val="001104FF"/>
    <w:rsid w:val="00112B0E"/>
    <w:rsid w:val="00114B03"/>
    <w:rsid w:val="001174B4"/>
    <w:rsid w:val="001201F5"/>
    <w:rsid w:val="00120C2B"/>
    <w:rsid w:val="0012160C"/>
    <w:rsid w:val="00122C3A"/>
    <w:rsid w:val="00123BDA"/>
    <w:rsid w:val="00126412"/>
    <w:rsid w:val="001271CF"/>
    <w:rsid w:val="001332A7"/>
    <w:rsid w:val="001345D0"/>
    <w:rsid w:val="00134612"/>
    <w:rsid w:val="00135822"/>
    <w:rsid w:val="00136201"/>
    <w:rsid w:val="00137E88"/>
    <w:rsid w:val="001403AB"/>
    <w:rsid w:val="001408DC"/>
    <w:rsid w:val="00141544"/>
    <w:rsid w:val="0014173B"/>
    <w:rsid w:val="00141987"/>
    <w:rsid w:val="001427C8"/>
    <w:rsid w:val="00143759"/>
    <w:rsid w:val="0014646F"/>
    <w:rsid w:val="00146757"/>
    <w:rsid w:val="00150FB2"/>
    <w:rsid w:val="00151895"/>
    <w:rsid w:val="00154FE8"/>
    <w:rsid w:val="0015513D"/>
    <w:rsid w:val="001559EC"/>
    <w:rsid w:val="001632B6"/>
    <w:rsid w:val="0016368D"/>
    <w:rsid w:val="00163D31"/>
    <w:rsid w:val="0016578E"/>
    <w:rsid w:val="00166B5F"/>
    <w:rsid w:val="0017020E"/>
    <w:rsid w:val="00172D92"/>
    <w:rsid w:val="001738AF"/>
    <w:rsid w:val="0017408E"/>
    <w:rsid w:val="00174A76"/>
    <w:rsid w:val="00177238"/>
    <w:rsid w:val="001775E3"/>
    <w:rsid w:val="00180C75"/>
    <w:rsid w:val="00184284"/>
    <w:rsid w:val="00186086"/>
    <w:rsid w:val="00186782"/>
    <w:rsid w:val="00190D41"/>
    <w:rsid w:val="0019118F"/>
    <w:rsid w:val="00191375"/>
    <w:rsid w:val="0019153C"/>
    <w:rsid w:val="00193DE3"/>
    <w:rsid w:val="00196A09"/>
    <w:rsid w:val="00196D0F"/>
    <w:rsid w:val="001A313C"/>
    <w:rsid w:val="001A4EF4"/>
    <w:rsid w:val="001A51F2"/>
    <w:rsid w:val="001A73FE"/>
    <w:rsid w:val="001A7B9C"/>
    <w:rsid w:val="001A7CCD"/>
    <w:rsid w:val="001A7F8C"/>
    <w:rsid w:val="001B12C6"/>
    <w:rsid w:val="001B31FC"/>
    <w:rsid w:val="001B3B31"/>
    <w:rsid w:val="001B3B4F"/>
    <w:rsid w:val="001B3EAF"/>
    <w:rsid w:val="001B40CE"/>
    <w:rsid w:val="001B5DD5"/>
    <w:rsid w:val="001B71B7"/>
    <w:rsid w:val="001C2872"/>
    <w:rsid w:val="001C42B1"/>
    <w:rsid w:val="001C57CD"/>
    <w:rsid w:val="001C5850"/>
    <w:rsid w:val="001C5EEA"/>
    <w:rsid w:val="001D0D74"/>
    <w:rsid w:val="001D179A"/>
    <w:rsid w:val="001D3662"/>
    <w:rsid w:val="001D377C"/>
    <w:rsid w:val="001E12A1"/>
    <w:rsid w:val="001E2644"/>
    <w:rsid w:val="001E3708"/>
    <w:rsid w:val="001E415C"/>
    <w:rsid w:val="001E4F52"/>
    <w:rsid w:val="001E6E6D"/>
    <w:rsid w:val="001E7AEB"/>
    <w:rsid w:val="001E7C95"/>
    <w:rsid w:val="001E7D7F"/>
    <w:rsid w:val="001F06CE"/>
    <w:rsid w:val="001F1504"/>
    <w:rsid w:val="001F39CE"/>
    <w:rsid w:val="001F3B14"/>
    <w:rsid w:val="001F71C8"/>
    <w:rsid w:val="00200ED6"/>
    <w:rsid w:val="0020107A"/>
    <w:rsid w:val="0020150A"/>
    <w:rsid w:val="00201AA4"/>
    <w:rsid w:val="00204246"/>
    <w:rsid w:val="0020473E"/>
    <w:rsid w:val="00204CDD"/>
    <w:rsid w:val="00205D92"/>
    <w:rsid w:val="00210645"/>
    <w:rsid w:val="00213057"/>
    <w:rsid w:val="00213454"/>
    <w:rsid w:val="002149B9"/>
    <w:rsid w:val="00215D4A"/>
    <w:rsid w:val="0021678B"/>
    <w:rsid w:val="002168FC"/>
    <w:rsid w:val="00221B2B"/>
    <w:rsid w:val="0022290A"/>
    <w:rsid w:val="002252E7"/>
    <w:rsid w:val="00225534"/>
    <w:rsid w:val="00225587"/>
    <w:rsid w:val="0022567F"/>
    <w:rsid w:val="002275CD"/>
    <w:rsid w:val="00231CF1"/>
    <w:rsid w:val="002323A3"/>
    <w:rsid w:val="002431EF"/>
    <w:rsid w:val="002463E4"/>
    <w:rsid w:val="00250BC4"/>
    <w:rsid w:val="002518F1"/>
    <w:rsid w:val="0025283B"/>
    <w:rsid w:val="0025679A"/>
    <w:rsid w:val="0026069A"/>
    <w:rsid w:val="00261CD7"/>
    <w:rsid w:val="00262BCA"/>
    <w:rsid w:val="00262E56"/>
    <w:rsid w:val="0026310C"/>
    <w:rsid w:val="002639F5"/>
    <w:rsid w:val="00263FBB"/>
    <w:rsid w:val="00264709"/>
    <w:rsid w:val="00266974"/>
    <w:rsid w:val="00272791"/>
    <w:rsid w:val="00272FDC"/>
    <w:rsid w:val="0027509B"/>
    <w:rsid w:val="0027612B"/>
    <w:rsid w:val="00276512"/>
    <w:rsid w:val="00276973"/>
    <w:rsid w:val="00280459"/>
    <w:rsid w:val="0028234A"/>
    <w:rsid w:val="00282AEB"/>
    <w:rsid w:val="00287F9F"/>
    <w:rsid w:val="00292C40"/>
    <w:rsid w:val="002946AB"/>
    <w:rsid w:val="00294728"/>
    <w:rsid w:val="00295C46"/>
    <w:rsid w:val="00296A0C"/>
    <w:rsid w:val="00296EF6"/>
    <w:rsid w:val="002A02B4"/>
    <w:rsid w:val="002A393F"/>
    <w:rsid w:val="002A5226"/>
    <w:rsid w:val="002B110F"/>
    <w:rsid w:val="002B132A"/>
    <w:rsid w:val="002B2D87"/>
    <w:rsid w:val="002B3325"/>
    <w:rsid w:val="002B4B0F"/>
    <w:rsid w:val="002B5626"/>
    <w:rsid w:val="002B5CD1"/>
    <w:rsid w:val="002C0280"/>
    <w:rsid w:val="002C33CD"/>
    <w:rsid w:val="002C3579"/>
    <w:rsid w:val="002C49F0"/>
    <w:rsid w:val="002C4B61"/>
    <w:rsid w:val="002C7276"/>
    <w:rsid w:val="002D039A"/>
    <w:rsid w:val="002D0964"/>
    <w:rsid w:val="002D2A9D"/>
    <w:rsid w:val="002D301C"/>
    <w:rsid w:val="002D3D73"/>
    <w:rsid w:val="002D47A4"/>
    <w:rsid w:val="002D4C0D"/>
    <w:rsid w:val="002D51A2"/>
    <w:rsid w:val="002D738D"/>
    <w:rsid w:val="002E29E9"/>
    <w:rsid w:val="002E3FDE"/>
    <w:rsid w:val="002E4A53"/>
    <w:rsid w:val="002E75D9"/>
    <w:rsid w:val="002F19CC"/>
    <w:rsid w:val="002F2286"/>
    <w:rsid w:val="002F4D45"/>
    <w:rsid w:val="002F6FED"/>
    <w:rsid w:val="002F705C"/>
    <w:rsid w:val="0030078C"/>
    <w:rsid w:val="00305ACD"/>
    <w:rsid w:val="003068B8"/>
    <w:rsid w:val="003101AA"/>
    <w:rsid w:val="00311C78"/>
    <w:rsid w:val="0031387A"/>
    <w:rsid w:val="0031528C"/>
    <w:rsid w:val="00315B9D"/>
    <w:rsid w:val="00315DC2"/>
    <w:rsid w:val="003167AC"/>
    <w:rsid w:val="00317101"/>
    <w:rsid w:val="00321BCC"/>
    <w:rsid w:val="00324927"/>
    <w:rsid w:val="00326221"/>
    <w:rsid w:val="00326BBD"/>
    <w:rsid w:val="003274B4"/>
    <w:rsid w:val="003279BC"/>
    <w:rsid w:val="003303AA"/>
    <w:rsid w:val="00331ABB"/>
    <w:rsid w:val="0033215D"/>
    <w:rsid w:val="00332A37"/>
    <w:rsid w:val="00333E0F"/>
    <w:rsid w:val="00334AE6"/>
    <w:rsid w:val="0033653A"/>
    <w:rsid w:val="00336721"/>
    <w:rsid w:val="00336B2E"/>
    <w:rsid w:val="00336C0B"/>
    <w:rsid w:val="00337A76"/>
    <w:rsid w:val="00343163"/>
    <w:rsid w:val="00343623"/>
    <w:rsid w:val="0034454E"/>
    <w:rsid w:val="00346031"/>
    <w:rsid w:val="003462FB"/>
    <w:rsid w:val="00352EA8"/>
    <w:rsid w:val="003554CB"/>
    <w:rsid w:val="00356FEF"/>
    <w:rsid w:val="00360DCA"/>
    <w:rsid w:val="0037245B"/>
    <w:rsid w:val="003725A6"/>
    <w:rsid w:val="00372F80"/>
    <w:rsid w:val="0037447C"/>
    <w:rsid w:val="00375BA9"/>
    <w:rsid w:val="00376599"/>
    <w:rsid w:val="00376F99"/>
    <w:rsid w:val="0038060F"/>
    <w:rsid w:val="00384A82"/>
    <w:rsid w:val="00384D1C"/>
    <w:rsid w:val="00385576"/>
    <w:rsid w:val="00387A5E"/>
    <w:rsid w:val="00391C69"/>
    <w:rsid w:val="0039218C"/>
    <w:rsid w:val="00392AE6"/>
    <w:rsid w:val="00394D34"/>
    <w:rsid w:val="00396808"/>
    <w:rsid w:val="00396A45"/>
    <w:rsid w:val="003979A2"/>
    <w:rsid w:val="00397C9A"/>
    <w:rsid w:val="003A1784"/>
    <w:rsid w:val="003A229F"/>
    <w:rsid w:val="003A6318"/>
    <w:rsid w:val="003A6834"/>
    <w:rsid w:val="003A6CD6"/>
    <w:rsid w:val="003B02AC"/>
    <w:rsid w:val="003B1171"/>
    <w:rsid w:val="003B4F0C"/>
    <w:rsid w:val="003B6560"/>
    <w:rsid w:val="003B6E34"/>
    <w:rsid w:val="003B74D0"/>
    <w:rsid w:val="003B7D43"/>
    <w:rsid w:val="003C3460"/>
    <w:rsid w:val="003C3FE8"/>
    <w:rsid w:val="003C42FD"/>
    <w:rsid w:val="003C45BA"/>
    <w:rsid w:val="003C7CD2"/>
    <w:rsid w:val="003D127F"/>
    <w:rsid w:val="003D3004"/>
    <w:rsid w:val="003D4D1D"/>
    <w:rsid w:val="003E211A"/>
    <w:rsid w:val="003E266F"/>
    <w:rsid w:val="003E4442"/>
    <w:rsid w:val="003E4B38"/>
    <w:rsid w:val="003E4DDD"/>
    <w:rsid w:val="003E4E11"/>
    <w:rsid w:val="003E5915"/>
    <w:rsid w:val="003E65DD"/>
    <w:rsid w:val="003F15AF"/>
    <w:rsid w:val="003F19A3"/>
    <w:rsid w:val="003F2A2E"/>
    <w:rsid w:val="003F3C4F"/>
    <w:rsid w:val="003F52AB"/>
    <w:rsid w:val="003F5D3D"/>
    <w:rsid w:val="003F729C"/>
    <w:rsid w:val="00401AE1"/>
    <w:rsid w:val="004034F3"/>
    <w:rsid w:val="00404614"/>
    <w:rsid w:val="00405655"/>
    <w:rsid w:val="00410BC2"/>
    <w:rsid w:val="00411B74"/>
    <w:rsid w:val="00414D3C"/>
    <w:rsid w:val="004152C3"/>
    <w:rsid w:val="00415AF7"/>
    <w:rsid w:val="004207F4"/>
    <w:rsid w:val="0042279A"/>
    <w:rsid w:val="00422B2F"/>
    <w:rsid w:val="00424A30"/>
    <w:rsid w:val="0042547F"/>
    <w:rsid w:val="00425A0E"/>
    <w:rsid w:val="004269FB"/>
    <w:rsid w:val="00430939"/>
    <w:rsid w:val="004338CA"/>
    <w:rsid w:val="004404C9"/>
    <w:rsid w:val="004431E0"/>
    <w:rsid w:val="00443B2C"/>
    <w:rsid w:val="00443EFC"/>
    <w:rsid w:val="00445FC9"/>
    <w:rsid w:val="00447682"/>
    <w:rsid w:val="0045173F"/>
    <w:rsid w:val="0045264A"/>
    <w:rsid w:val="0045574F"/>
    <w:rsid w:val="0045682F"/>
    <w:rsid w:val="00457D16"/>
    <w:rsid w:val="004620C0"/>
    <w:rsid w:val="004622A2"/>
    <w:rsid w:val="00462634"/>
    <w:rsid w:val="00465554"/>
    <w:rsid w:val="004661A5"/>
    <w:rsid w:val="00467098"/>
    <w:rsid w:val="00470567"/>
    <w:rsid w:val="0047225C"/>
    <w:rsid w:val="00472902"/>
    <w:rsid w:val="00475F86"/>
    <w:rsid w:val="00476598"/>
    <w:rsid w:val="00477693"/>
    <w:rsid w:val="00477727"/>
    <w:rsid w:val="0048089F"/>
    <w:rsid w:val="00481511"/>
    <w:rsid w:val="00482445"/>
    <w:rsid w:val="00482931"/>
    <w:rsid w:val="00482FB3"/>
    <w:rsid w:val="00485295"/>
    <w:rsid w:val="00485396"/>
    <w:rsid w:val="0048597D"/>
    <w:rsid w:val="00485B1F"/>
    <w:rsid w:val="004876B4"/>
    <w:rsid w:val="0049025C"/>
    <w:rsid w:val="0049167B"/>
    <w:rsid w:val="004946F7"/>
    <w:rsid w:val="00495C41"/>
    <w:rsid w:val="004A087A"/>
    <w:rsid w:val="004A55B3"/>
    <w:rsid w:val="004A7507"/>
    <w:rsid w:val="004A765C"/>
    <w:rsid w:val="004A76FB"/>
    <w:rsid w:val="004B3F08"/>
    <w:rsid w:val="004B5E57"/>
    <w:rsid w:val="004B72FB"/>
    <w:rsid w:val="004C02BE"/>
    <w:rsid w:val="004C171C"/>
    <w:rsid w:val="004C2598"/>
    <w:rsid w:val="004C308B"/>
    <w:rsid w:val="004C40F1"/>
    <w:rsid w:val="004C46D2"/>
    <w:rsid w:val="004C4ACD"/>
    <w:rsid w:val="004C63D8"/>
    <w:rsid w:val="004C6BE2"/>
    <w:rsid w:val="004C73FC"/>
    <w:rsid w:val="004D056E"/>
    <w:rsid w:val="004D127E"/>
    <w:rsid w:val="004D23D4"/>
    <w:rsid w:val="004D398C"/>
    <w:rsid w:val="004D5045"/>
    <w:rsid w:val="004E18AE"/>
    <w:rsid w:val="004E19CC"/>
    <w:rsid w:val="004E251A"/>
    <w:rsid w:val="004E2BDE"/>
    <w:rsid w:val="004E3A80"/>
    <w:rsid w:val="004E43D7"/>
    <w:rsid w:val="004E5574"/>
    <w:rsid w:val="004E576E"/>
    <w:rsid w:val="004E5BF0"/>
    <w:rsid w:val="004E5E8A"/>
    <w:rsid w:val="004E6749"/>
    <w:rsid w:val="004E6F7E"/>
    <w:rsid w:val="004E746B"/>
    <w:rsid w:val="004F0493"/>
    <w:rsid w:val="004F1859"/>
    <w:rsid w:val="004F4F11"/>
    <w:rsid w:val="004F53B1"/>
    <w:rsid w:val="004F5874"/>
    <w:rsid w:val="004F796A"/>
    <w:rsid w:val="00502573"/>
    <w:rsid w:val="005025EC"/>
    <w:rsid w:val="0050325A"/>
    <w:rsid w:val="0050524D"/>
    <w:rsid w:val="00505EE1"/>
    <w:rsid w:val="0050616E"/>
    <w:rsid w:val="00506239"/>
    <w:rsid w:val="00507B3E"/>
    <w:rsid w:val="00510836"/>
    <w:rsid w:val="00510895"/>
    <w:rsid w:val="005125D9"/>
    <w:rsid w:val="00512D6F"/>
    <w:rsid w:val="00515206"/>
    <w:rsid w:val="0051542C"/>
    <w:rsid w:val="00516784"/>
    <w:rsid w:val="00516EAF"/>
    <w:rsid w:val="00523C30"/>
    <w:rsid w:val="0052703C"/>
    <w:rsid w:val="00527E92"/>
    <w:rsid w:val="005324FB"/>
    <w:rsid w:val="005327CE"/>
    <w:rsid w:val="0053368F"/>
    <w:rsid w:val="0053375D"/>
    <w:rsid w:val="00533B51"/>
    <w:rsid w:val="00534825"/>
    <w:rsid w:val="00534F2E"/>
    <w:rsid w:val="00535A02"/>
    <w:rsid w:val="005362DE"/>
    <w:rsid w:val="005373F4"/>
    <w:rsid w:val="005379A5"/>
    <w:rsid w:val="00543353"/>
    <w:rsid w:val="005440DC"/>
    <w:rsid w:val="00546362"/>
    <w:rsid w:val="00550281"/>
    <w:rsid w:val="00552856"/>
    <w:rsid w:val="005601AF"/>
    <w:rsid w:val="00560240"/>
    <w:rsid w:val="00560B51"/>
    <w:rsid w:val="00564AB3"/>
    <w:rsid w:val="00565796"/>
    <w:rsid w:val="00566ED0"/>
    <w:rsid w:val="005724E7"/>
    <w:rsid w:val="00573D71"/>
    <w:rsid w:val="0057542F"/>
    <w:rsid w:val="00575F10"/>
    <w:rsid w:val="00576769"/>
    <w:rsid w:val="00581AE6"/>
    <w:rsid w:val="00585D74"/>
    <w:rsid w:val="005908E9"/>
    <w:rsid w:val="00590D03"/>
    <w:rsid w:val="005918EF"/>
    <w:rsid w:val="0059285C"/>
    <w:rsid w:val="005944AF"/>
    <w:rsid w:val="00594549"/>
    <w:rsid w:val="0059461D"/>
    <w:rsid w:val="005A11B9"/>
    <w:rsid w:val="005A1B00"/>
    <w:rsid w:val="005A5F4B"/>
    <w:rsid w:val="005B31BC"/>
    <w:rsid w:val="005B48E1"/>
    <w:rsid w:val="005B4D5B"/>
    <w:rsid w:val="005B6242"/>
    <w:rsid w:val="005B6CFA"/>
    <w:rsid w:val="005C00D1"/>
    <w:rsid w:val="005C028F"/>
    <w:rsid w:val="005C0859"/>
    <w:rsid w:val="005C1EF5"/>
    <w:rsid w:val="005C348C"/>
    <w:rsid w:val="005C3830"/>
    <w:rsid w:val="005C3B04"/>
    <w:rsid w:val="005C519E"/>
    <w:rsid w:val="005C632B"/>
    <w:rsid w:val="005C6586"/>
    <w:rsid w:val="005D01E7"/>
    <w:rsid w:val="005D121E"/>
    <w:rsid w:val="005D23B0"/>
    <w:rsid w:val="005D2753"/>
    <w:rsid w:val="005D3AF8"/>
    <w:rsid w:val="005D6218"/>
    <w:rsid w:val="005D6C44"/>
    <w:rsid w:val="005D755E"/>
    <w:rsid w:val="005D7E8B"/>
    <w:rsid w:val="005E1A1C"/>
    <w:rsid w:val="005E31C6"/>
    <w:rsid w:val="005E42B2"/>
    <w:rsid w:val="005E45EE"/>
    <w:rsid w:val="005E6116"/>
    <w:rsid w:val="005F0FD2"/>
    <w:rsid w:val="005F1B46"/>
    <w:rsid w:val="005F1C97"/>
    <w:rsid w:val="005F3228"/>
    <w:rsid w:val="005F62B4"/>
    <w:rsid w:val="005F6970"/>
    <w:rsid w:val="005F6BB0"/>
    <w:rsid w:val="005F7989"/>
    <w:rsid w:val="005F7E77"/>
    <w:rsid w:val="006002D4"/>
    <w:rsid w:val="00600307"/>
    <w:rsid w:val="00601802"/>
    <w:rsid w:val="00603AE9"/>
    <w:rsid w:val="006050D8"/>
    <w:rsid w:val="00605B24"/>
    <w:rsid w:val="00611558"/>
    <w:rsid w:val="0061338C"/>
    <w:rsid w:val="006137C1"/>
    <w:rsid w:val="0061557C"/>
    <w:rsid w:val="00617250"/>
    <w:rsid w:val="00621C77"/>
    <w:rsid w:val="00622DFD"/>
    <w:rsid w:val="00624D62"/>
    <w:rsid w:val="00625B47"/>
    <w:rsid w:val="0062683C"/>
    <w:rsid w:val="00626B80"/>
    <w:rsid w:val="00627144"/>
    <w:rsid w:val="006302E6"/>
    <w:rsid w:val="00633E68"/>
    <w:rsid w:val="0063548F"/>
    <w:rsid w:val="00636772"/>
    <w:rsid w:val="00636A3E"/>
    <w:rsid w:val="0063719C"/>
    <w:rsid w:val="006400B5"/>
    <w:rsid w:val="00640DB2"/>
    <w:rsid w:val="006426C4"/>
    <w:rsid w:val="00643B1C"/>
    <w:rsid w:val="00644293"/>
    <w:rsid w:val="00652134"/>
    <w:rsid w:val="0065615A"/>
    <w:rsid w:val="0065626D"/>
    <w:rsid w:val="00656AB0"/>
    <w:rsid w:val="00661E4D"/>
    <w:rsid w:val="00661E95"/>
    <w:rsid w:val="00661F79"/>
    <w:rsid w:val="006630DE"/>
    <w:rsid w:val="0066550C"/>
    <w:rsid w:val="00666C51"/>
    <w:rsid w:val="0067185F"/>
    <w:rsid w:val="00673BD1"/>
    <w:rsid w:val="00674B85"/>
    <w:rsid w:val="00674D98"/>
    <w:rsid w:val="00675648"/>
    <w:rsid w:val="006763F3"/>
    <w:rsid w:val="00676612"/>
    <w:rsid w:val="00676DA8"/>
    <w:rsid w:val="00677794"/>
    <w:rsid w:val="0067797A"/>
    <w:rsid w:val="006803F5"/>
    <w:rsid w:val="0068144B"/>
    <w:rsid w:val="006849CE"/>
    <w:rsid w:val="00685761"/>
    <w:rsid w:val="006871EA"/>
    <w:rsid w:val="00687F64"/>
    <w:rsid w:val="00692FB5"/>
    <w:rsid w:val="006931AC"/>
    <w:rsid w:val="00693C4F"/>
    <w:rsid w:val="00695635"/>
    <w:rsid w:val="00697444"/>
    <w:rsid w:val="006A0318"/>
    <w:rsid w:val="006A10FC"/>
    <w:rsid w:val="006A22B4"/>
    <w:rsid w:val="006A281E"/>
    <w:rsid w:val="006A2EBE"/>
    <w:rsid w:val="006A3278"/>
    <w:rsid w:val="006A548E"/>
    <w:rsid w:val="006B0C92"/>
    <w:rsid w:val="006B1CE3"/>
    <w:rsid w:val="006B28E6"/>
    <w:rsid w:val="006B2CF2"/>
    <w:rsid w:val="006B4756"/>
    <w:rsid w:val="006B4814"/>
    <w:rsid w:val="006B54CB"/>
    <w:rsid w:val="006B551B"/>
    <w:rsid w:val="006B6842"/>
    <w:rsid w:val="006C10F3"/>
    <w:rsid w:val="006C1D20"/>
    <w:rsid w:val="006C307F"/>
    <w:rsid w:val="006C4F22"/>
    <w:rsid w:val="006C53CD"/>
    <w:rsid w:val="006C59A5"/>
    <w:rsid w:val="006D117B"/>
    <w:rsid w:val="006D1549"/>
    <w:rsid w:val="006D2131"/>
    <w:rsid w:val="006D30B3"/>
    <w:rsid w:val="006D6A6D"/>
    <w:rsid w:val="006E0DA1"/>
    <w:rsid w:val="006E4585"/>
    <w:rsid w:val="006F107B"/>
    <w:rsid w:val="006F1E0C"/>
    <w:rsid w:val="006F2496"/>
    <w:rsid w:val="006F3C0A"/>
    <w:rsid w:val="006F4F59"/>
    <w:rsid w:val="006F5063"/>
    <w:rsid w:val="006F5C6E"/>
    <w:rsid w:val="006F5D9D"/>
    <w:rsid w:val="006F66DE"/>
    <w:rsid w:val="006F739B"/>
    <w:rsid w:val="006F775E"/>
    <w:rsid w:val="00701206"/>
    <w:rsid w:val="00701C86"/>
    <w:rsid w:val="00701DC2"/>
    <w:rsid w:val="00702ABB"/>
    <w:rsid w:val="00707127"/>
    <w:rsid w:val="007103A7"/>
    <w:rsid w:val="00711773"/>
    <w:rsid w:val="00713872"/>
    <w:rsid w:val="00713881"/>
    <w:rsid w:val="00714750"/>
    <w:rsid w:val="00714FCB"/>
    <w:rsid w:val="00715570"/>
    <w:rsid w:val="00721088"/>
    <w:rsid w:val="007232E6"/>
    <w:rsid w:val="007240C1"/>
    <w:rsid w:val="007252F9"/>
    <w:rsid w:val="00725A55"/>
    <w:rsid w:val="007272CB"/>
    <w:rsid w:val="007329C4"/>
    <w:rsid w:val="00734D3C"/>
    <w:rsid w:val="0073620C"/>
    <w:rsid w:val="0073742E"/>
    <w:rsid w:val="00743AD8"/>
    <w:rsid w:val="00745489"/>
    <w:rsid w:val="007471B9"/>
    <w:rsid w:val="0075140B"/>
    <w:rsid w:val="0075141D"/>
    <w:rsid w:val="00755F11"/>
    <w:rsid w:val="007609FA"/>
    <w:rsid w:val="00762973"/>
    <w:rsid w:val="007631BC"/>
    <w:rsid w:val="00765014"/>
    <w:rsid w:val="007651FE"/>
    <w:rsid w:val="00767335"/>
    <w:rsid w:val="0076795B"/>
    <w:rsid w:val="007709DD"/>
    <w:rsid w:val="00770F30"/>
    <w:rsid w:val="007713C3"/>
    <w:rsid w:val="00772595"/>
    <w:rsid w:val="00772AA5"/>
    <w:rsid w:val="00772B41"/>
    <w:rsid w:val="00772E5F"/>
    <w:rsid w:val="007730EA"/>
    <w:rsid w:val="00773113"/>
    <w:rsid w:val="0077619A"/>
    <w:rsid w:val="007803DD"/>
    <w:rsid w:val="0078058B"/>
    <w:rsid w:val="007837AA"/>
    <w:rsid w:val="007848D8"/>
    <w:rsid w:val="00784E9D"/>
    <w:rsid w:val="00785AFF"/>
    <w:rsid w:val="0078621B"/>
    <w:rsid w:val="00786F65"/>
    <w:rsid w:val="007908FD"/>
    <w:rsid w:val="00791457"/>
    <w:rsid w:val="00791BFD"/>
    <w:rsid w:val="00791EED"/>
    <w:rsid w:val="00794252"/>
    <w:rsid w:val="0079593F"/>
    <w:rsid w:val="00795AE9"/>
    <w:rsid w:val="007A0A1E"/>
    <w:rsid w:val="007A1A87"/>
    <w:rsid w:val="007A1C1E"/>
    <w:rsid w:val="007A398C"/>
    <w:rsid w:val="007A5B03"/>
    <w:rsid w:val="007A5CBB"/>
    <w:rsid w:val="007A61FC"/>
    <w:rsid w:val="007B0C65"/>
    <w:rsid w:val="007B18A6"/>
    <w:rsid w:val="007B1C97"/>
    <w:rsid w:val="007B6905"/>
    <w:rsid w:val="007B7C99"/>
    <w:rsid w:val="007C08F6"/>
    <w:rsid w:val="007C0D5A"/>
    <w:rsid w:val="007C1B03"/>
    <w:rsid w:val="007C2623"/>
    <w:rsid w:val="007C351F"/>
    <w:rsid w:val="007C3F14"/>
    <w:rsid w:val="007C4857"/>
    <w:rsid w:val="007C4EE3"/>
    <w:rsid w:val="007D1DC8"/>
    <w:rsid w:val="007D2687"/>
    <w:rsid w:val="007D4219"/>
    <w:rsid w:val="007D6126"/>
    <w:rsid w:val="007E1857"/>
    <w:rsid w:val="007E28EE"/>
    <w:rsid w:val="007E2CD3"/>
    <w:rsid w:val="007E37CF"/>
    <w:rsid w:val="007E3F6E"/>
    <w:rsid w:val="007E45EC"/>
    <w:rsid w:val="007E527B"/>
    <w:rsid w:val="007E55B9"/>
    <w:rsid w:val="007E6F51"/>
    <w:rsid w:val="007E7192"/>
    <w:rsid w:val="007E7BC4"/>
    <w:rsid w:val="007F1AD4"/>
    <w:rsid w:val="007F25CA"/>
    <w:rsid w:val="007F2EFC"/>
    <w:rsid w:val="007F60CC"/>
    <w:rsid w:val="007F6107"/>
    <w:rsid w:val="00802924"/>
    <w:rsid w:val="0080355A"/>
    <w:rsid w:val="00803A2A"/>
    <w:rsid w:val="0080401E"/>
    <w:rsid w:val="00804D1A"/>
    <w:rsid w:val="008063F1"/>
    <w:rsid w:val="008079CB"/>
    <w:rsid w:val="00810178"/>
    <w:rsid w:val="00810243"/>
    <w:rsid w:val="0081271B"/>
    <w:rsid w:val="00812954"/>
    <w:rsid w:val="00815EFC"/>
    <w:rsid w:val="00816623"/>
    <w:rsid w:val="008216A1"/>
    <w:rsid w:val="0082291C"/>
    <w:rsid w:val="00824BB1"/>
    <w:rsid w:val="0082632F"/>
    <w:rsid w:val="00827229"/>
    <w:rsid w:val="008277C8"/>
    <w:rsid w:val="00830BBD"/>
    <w:rsid w:val="00830DEC"/>
    <w:rsid w:val="00832045"/>
    <w:rsid w:val="00832103"/>
    <w:rsid w:val="00834569"/>
    <w:rsid w:val="00834629"/>
    <w:rsid w:val="0083487D"/>
    <w:rsid w:val="0083506B"/>
    <w:rsid w:val="0084145C"/>
    <w:rsid w:val="008422F1"/>
    <w:rsid w:val="00846CD0"/>
    <w:rsid w:val="0085051E"/>
    <w:rsid w:val="00856701"/>
    <w:rsid w:val="00860CD0"/>
    <w:rsid w:val="008616C3"/>
    <w:rsid w:val="008668CD"/>
    <w:rsid w:val="00867873"/>
    <w:rsid w:val="008707D9"/>
    <w:rsid w:val="00870D0B"/>
    <w:rsid w:val="008713EC"/>
    <w:rsid w:val="00871942"/>
    <w:rsid w:val="00875B34"/>
    <w:rsid w:val="00876745"/>
    <w:rsid w:val="00881F74"/>
    <w:rsid w:val="0088315C"/>
    <w:rsid w:val="0088356E"/>
    <w:rsid w:val="00883742"/>
    <w:rsid w:val="0088645A"/>
    <w:rsid w:val="008866BF"/>
    <w:rsid w:val="00891ECA"/>
    <w:rsid w:val="00895EAF"/>
    <w:rsid w:val="0089604A"/>
    <w:rsid w:val="0089679E"/>
    <w:rsid w:val="00896A32"/>
    <w:rsid w:val="008970BB"/>
    <w:rsid w:val="0089787F"/>
    <w:rsid w:val="008A0840"/>
    <w:rsid w:val="008A1C58"/>
    <w:rsid w:val="008A5C4C"/>
    <w:rsid w:val="008A6AF0"/>
    <w:rsid w:val="008B04A7"/>
    <w:rsid w:val="008B05B0"/>
    <w:rsid w:val="008B0BD8"/>
    <w:rsid w:val="008B2508"/>
    <w:rsid w:val="008B48D0"/>
    <w:rsid w:val="008B5465"/>
    <w:rsid w:val="008B5DBA"/>
    <w:rsid w:val="008B5E95"/>
    <w:rsid w:val="008B7914"/>
    <w:rsid w:val="008C004C"/>
    <w:rsid w:val="008C0BBD"/>
    <w:rsid w:val="008C1D15"/>
    <w:rsid w:val="008C22E6"/>
    <w:rsid w:val="008C24DD"/>
    <w:rsid w:val="008C2A52"/>
    <w:rsid w:val="008C3763"/>
    <w:rsid w:val="008C3B97"/>
    <w:rsid w:val="008C633C"/>
    <w:rsid w:val="008C7AC5"/>
    <w:rsid w:val="008D0316"/>
    <w:rsid w:val="008D18E6"/>
    <w:rsid w:val="008D1FC7"/>
    <w:rsid w:val="008D2931"/>
    <w:rsid w:val="008D2C51"/>
    <w:rsid w:val="008D339B"/>
    <w:rsid w:val="008D448F"/>
    <w:rsid w:val="008D4E77"/>
    <w:rsid w:val="008D74C2"/>
    <w:rsid w:val="008D7754"/>
    <w:rsid w:val="008E11AC"/>
    <w:rsid w:val="008E1572"/>
    <w:rsid w:val="008E3455"/>
    <w:rsid w:val="008E4840"/>
    <w:rsid w:val="008E4A4B"/>
    <w:rsid w:val="008E5861"/>
    <w:rsid w:val="008E70B3"/>
    <w:rsid w:val="008F0FAD"/>
    <w:rsid w:val="008F2F33"/>
    <w:rsid w:val="008F6FC6"/>
    <w:rsid w:val="008F78E4"/>
    <w:rsid w:val="009021DC"/>
    <w:rsid w:val="009023E3"/>
    <w:rsid w:val="00904331"/>
    <w:rsid w:val="00905206"/>
    <w:rsid w:val="00907338"/>
    <w:rsid w:val="0090771D"/>
    <w:rsid w:val="00910314"/>
    <w:rsid w:val="00911B0B"/>
    <w:rsid w:val="009126C9"/>
    <w:rsid w:val="00915FC6"/>
    <w:rsid w:val="00917FE9"/>
    <w:rsid w:val="009205D7"/>
    <w:rsid w:val="00921191"/>
    <w:rsid w:val="0092177D"/>
    <w:rsid w:val="00921ED0"/>
    <w:rsid w:val="00923558"/>
    <w:rsid w:val="00923C9A"/>
    <w:rsid w:val="0092717F"/>
    <w:rsid w:val="00931536"/>
    <w:rsid w:val="00932BA4"/>
    <w:rsid w:val="0093325D"/>
    <w:rsid w:val="009360C8"/>
    <w:rsid w:val="009377BF"/>
    <w:rsid w:val="009412D3"/>
    <w:rsid w:val="00941601"/>
    <w:rsid w:val="0094376D"/>
    <w:rsid w:val="00944060"/>
    <w:rsid w:val="00944994"/>
    <w:rsid w:val="00945874"/>
    <w:rsid w:val="00950246"/>
    <w:rsid w:val="0095063A"/>
    <w:rsid w:val="00950685"/>
    <w:rsid w:val="00950804"/>
    <w:rsid w:val="00950D1B"/>
    <w:rsid w:val="00952587"/>
    <w:rsid w:val="009535F4"/>
    <w:rsid w:val="009541EB"/>
    <w:rsid w:val="00955AD5"/>
    <w:rsid w:val="00955F91"/>
    <w:rsid w:val="00956DB7"/>
    <w:rsid w:val="00957212"/>
    <w:rsid w:val="0095721C"/>
    <w:rsid w:val="00961A9E"/>
    <w:rsid w:val="009625CC"/>
    <w:rsid w:val="009652DC"/>
    <w:rsid w:val="00966AE6"/>
    <w:rsid w:val="00966E2B"/>
    <w:rsid w:val="009703E3"/>
    <w:rsid w:val="00970A0A"/>
    <w:rsid w:val="0097629E"/>
    <w:rsid w:val="00977EAF"/>
    <w:rsid w:val="009805F4"/>
    <w:rsid w:val="0098118E"/>
    <w:rsid w:val="00982CDD"/>
    <w:rsid w:val="0098370B"/>
    <w:rsid w:val="009861AA"/>
    <w:rsid w:val="00986CD3"/>
    <w:rsid w:val="009873D2"/>
    <w:rsid w:val="00987EFA"/>
    <w:rsid w:val="00990537"/>
    <w:rsid w:val="00991454"/>
    <w:rsid w:val="009A4454"/>
    <w:rsid w:val="009A4929"/>
    <w:rsid w:val="009A6457"/>
    <w:rsid w:val="009A6A39"/>
    <w:rsid w:val="009B08E5"/>
    <w:rsid w:val="009B0D37"/>
    <w:rsid w:val="009B437C"/>
    <w:rsid w:val="009B58F4"/>
    <w:rsid w:val="009B5B77"/>
    <w:rsid w:val="009B6F7D"/>
    <w:rsid w:val="009B7F02"/>
    <w:rsid w:val="009C26C5"/>
    <w:rsid w:val="009C30C4"/>
    <w:rsid w:val="009C3A44"/>
    <w:rsid w:val="009C41C6"/>
    <w:rsid w:val="009C43BA"/>
    <w:rsid w:val="009C5BF6"/>
    <w:rsid w:val="009C621D"/>
    <w:rsid w:val="009D0A6A"/>
    <w:rsid w:val="009D3292"/>
    <w:rsid w:val="009D41AE"/>
    <w:rsid w:val="009D427A"/>
    <w:rsid w:val="009D4C6C"/>
    <w:rsid w:val="009D5993"/>
    <w:rsid w:val="009D6224"/>
    <w:rsid w:val="009D674B"/>
    <w:rsid w:val="009D7BAF"/>
    <w:rsid w:val="009E375F"/>
    <w:rsid w:val="009E4BC1"/>
    <w:rsid w:val="009E59A3"/>
    <w:rsid w:val="009E67F7"/>
    <w:rsid w:val="009E7911"/>
    <w:rsid w:val="009F0092"/>
    <w:rsid w:val="009F1C77"/>
    <w:rsid w:val="009F1F66"/>
    <w:rsid w:val="009F3FF6"/>
    <w:rsid w:val="009F4099"/>
    <w:rsid w:val="009F71ED"/>
    <w:rsid w:val="00A00301"/>
    <w:rsid w:val="00A00408"/>
    <w:rsid w:val="00A03F32"/>
    <w:rsid w:val="00A0492B"/>
    <w:rsid w:val="00A04A60"/>
    <w:rsid w:val="00A04CFC"/>
    <w:rsid w:val="00A05836"/>
    <w:rsid w:val="00A0680E"/>
    <w:rsid w:val="00A07201"/>
    <w:rsid w:val="00A12402"/>
    <w:rsid w:val="00A16B0D"/>
    <w:rsid w:val="00A17B89"/>
    <w:rsid w:val="00A17E8C"/>
    <w:rsid w:val="00A217D9"/>
    <w:rsid w:val="00A21D7E"/>
    <w:rsid w:val="00A244F3"/>
    <w:rsid w:val="00A25549"/>
    <w:rsid w:val="00A257EB"/>
    <w:rsid w:val="00A31FD2"/>
    <w:rsid w:val="00A320B0"/>
    <w:rsid w:val="00A37572"/>
    <w:rsid w:val="00A450A9"/>
    <w:rsid w:val="00A50D6D"/>
    <w:rsid w:val="00A54F9E"/>
    <w:rsid w:val="00A56AE3"/>
    <w:rsid w:val="00A57994"/>
    <w:rsid w:val="00A57B2B"/>
    <w:rsid w:val="00A61E53"/>
    <w:rsid w:val="00A63831"/>
    <w:rsid w:val="00A63894"/>
    <w:rsid w:val="00A640DD"/>
    <w:rsid w:val="00A655EE"/>
    <w:rsid w:val="00A67254"/>
    <w:rsid w:val="00A70342"/>
    <w:rsid w:val="00A70D02"/>
    <w:rsid w:val="00A70D58"/>
    <w:rsid w:val="00A717C7"/>
    <w:rsid w:val="00A71BA4"/>
    <w:rsid w:val="00A71BCD"/>
    <w:rsid w:val="00A72910"/>
    <w:rsid w:val="00A738FB"/>
    <w:rsid w:val="00A8014C"/>
    <w:rsid w:val="00A83C21"/>
    <w:rsid w:val="00A842CD"/>
    <w:rsid w:val="00A855D4"/>
    <w:rsid w:val="00A866BE"/>
    <w:rsid w:val="00A8697A"/>
    <w:rsid w:val="00A906B9"/>
    <w:rsid w:val="00A913A2"/>
    <w:rsid w:val="00A957CF"/>
    <w:rsid w:val="00A958A5"/>
    <w:rsid w:val="00A971E0"/>
    <w:rsid w:val="00AA1425"/>
    <w:rsid w:val="00AA2180"/>
    <w:rsid w:val="00AA267A"/>
    <w:rsid w:val="00AA5856"/>
    <w:rsid w:val="00AA68BA"/>
    <w:rsid w:val="00AB33DA"/>
    <w:rsid w:val="00AB5C9A"/>
    <w:rsid w:val="00AC159B"/>
    <w:rsid w:val="00AC192F"/>
    <w:rsid w:val="00AC1AD6"/>
    <w:rsid w:val="00AC1CD9"/>
    <w:rsid w:val="00AC2033"/>
    <w:rsid w:val="00AC2A57"/>
    <w:rsid w:val="00AC5F00"/>
    <w:rsid w:val="00AC6032"/>
    <w:rsid w:val="00AC718B"/>
    <w:rsid w:val="00AC75C6"/>
    <w:rsid w:val="00AC7E3B"/>
    <w:rsid w:val="00AD4EF3"/>
    <w:rsid w:val="00AD520A"/>
    <w:rsid w:val="00AE0366"/>
    <w:rsid w:val="00AE12E8"/>
    <w:rsid w:val="00AE2AE2"/>
    <w:rsid w:val="00AE3969"/>
    <w:rsid w:val="00AE461F"/>
    <w:rsid w:val="00AE5954"/>
    <w:rsid w:val="00AE68C1"/>
    <w:rsid w:val="00AE7E6A"/>
    <w:rsid w:val="00AF1A1C"/>
    <w:rsid w:val="00AF23F1"/>
    <w:rsid w:val="00AF3464"/>
    <w:rsid w:val="00AF44FA"/>
    <w:rsid w:val="00AF689B"/>
    <w:rsid w:val="00AF6B15"/>
    <w:rsid w:val="00AF72A2"/>
    <w:rsid w:val="00B0455D"/>
    <w:rsid w:val="00B05328"/>
    <w:rsid w:val="00B1549A"/>
    <w:rsid w:val="00B1554C"/>
    <w:rsid w:val="00B16B9E"/>
    <w:rsid w:val="00B21E78"/>
    <w:rsid w:val="00B25ADE"/>
    <w:rsid w:val="00B26FD3"/>
    <w:rsid w:val="00B27672"/>
    <w:rsid w:val="00B279E1"/>
    <w:rsid w:val="00B27F23"/>
    <w:rsid w:val="00B3010B"/>
    <w:rsid w:val="00B3082B"/>
    <w:rsid w:val="00B34BC1"/>
    <w:rsid w:val="00B407E9"/>
    <w:rsid w:val="00B4699E"/>
    <w:rsid w:val="00B472B8"/>
    <w:rsid w:val="00B47817"/>
    <w:rsid w:val="00B47EBF"/>
    <w:rsid w:val="00B507FA"/>
    <w:rsid w:val="00B51498"/>
    <w:rsid w:val="00B5392B"/>
    <w:rsid w:val="00B55739"/>
    <w:rsid w:val="00B55B5C"/>
    <w:rsid w:val="00B55F60"/>
    <w:rsid w:val="00B5601D"/>
    <w:rsid w:val="00B5634B"/>
    <w:rsid w:val="00B56D56"/>
    <w:rsid w:val="00B57664"/>
    <w:rsid w:val="00B5791E"/>
    <w:rsid w:val="00B60466"/>
    <w:rsid w:val="00B614C4"/>
    <w:rsid w:val="00B638C7"/>
    <w:rsid w:val="00B64BA2"/>
    <w:rsid w:val="00B7018B"/>
    <w:rsid w:val="00B70247"/>
    <w:rsid w:val="00B71319"/>
    <w:rsid w:val="00B71331"/>
    <w:rsid w:val="00B71C43"/>
    <w:rsid w:val="00B72297"/>
    <w:rsid w:val="00B741FC"/>
    <w:rsid w:val="00B7433C"/>
    <w:rsid w:val="00B8135F"/>
    <w:rsid w:val="00B83BF0"/>
    <w:rsid w:val="00B84202"/>
    <w:rsid w:val="00B87934"/>
    <w:rsid w:val="00B90A8F"/>
    <w:rsid w:val="00B9221B"/>
    <w:rsid w:val="00B95779"/>
    <w:rsid w:val="00B9757A"/>
    <w:rsid w:val="00B9798C"/>
    <w:rsid w:val="00BA2345"/>
    <w:rsid w:val="00BA3CD1"/>
    <w:rsid w:val="00BA40E8"/>
    <w:rsid w:val="00BA41A3"/>
    <w:rsid w:val="00BA4412"/>
    <w:rsid w:val="00BA4B07"/>
    <w:rsid w:val="00BA4DE1"/>
    <w:rsid w:val="00BA598E"/>
    <w:rsid w:val="00BA7AFA"/>
    <w:rsid w:val="00BB538F"/>
    <w:rsid w:val="00BB5928"/>
    <w:rsid w:val="00BB6EB5"/>
    <w:rsid w:val="00BB6FBC"/>
    <w:rsid w:val="00BB7C76"/>
    <w:rsid w:val="00BC0BB4"/>
    <w:rsid w:val="00BC1FB5"/>
    <w:rsid w:val="00BC28C4"/>
    <w:rsid w:val="00BC39D8"/>
    <w:rsid w:val="00BC3C6B"/>
    <w:rsid w:val="00BC4A58"/>
    <w:rsid w:val="00BC4AB1"/>
    <w:rsid w:val="00BC54DE"/>
    <w:rsid w:val="00BC6C46"/>
    <w:rsid w:val="00BD03A0"/>
    <w:rsid w:val="00BD0B7D"/>
    <w:rsid w:val="00BD13B1"/>
    <w:rsid w:val="00BD1F25"/>
    <w:rsid w:val="00BD248C"/>
    <w:rsid w:val="00BD36E5"/>
    <w:rsid w:val="00BD7DDC"/>
    <w:rsid w:val="00BE059F"/>
    <w:rsid w:val="00BE0F3B"/>
    <w:rsid w:val="00BE3317"/>
    <w:rsid w:val="00BE63AD"/>
    <w:rsid w:val="00BE6F3C"/>
    <w:rsid w:val="00BE7C9C"/>
    <w:rsid w:val="00BF4A41"/>
    <w:rsid w:val="00BF7980"/>
    <w:rsid w:val="00C006BD"/>
    <w:rsid w:val="00C0075B"/>
    <w:rsid w:val="00C047F5"/>
    <w:rsid w:val="00C10A5B"/>
    <w:rsid w:val="00C10A8A"/>
    <w:rsid w:val="00C10FFD"/>
    <w:rsid w:val="00C11FA1"/>
    <w:rsid w:val="00C1434A"/>
    <w:rsid w:val="00C14BC3"/>
    <w:rsid w:val="00C152B1"/>
    <w:rsid w:val="00C16855"/>
    <w:rsid w:val="00C16B6B"/>
    <w:rsid w:val="00C21D9F"/>
    <w:rsid w:val="00C226C7"/>
    <w:rsid w:val="00C24587"/>
    <w:rsid w:val="00C2799F"/>
    <w:rsid w:val="00C31DA5"/>
    <w:rsid w:val="00C3378A"/>
    <w:rsid w:val="00C33DF8"/>
    <w:rsid w:val="00C34716"/>
    <w:rsid w:val="00C3513F"/>
    <w:rsid w:val="00C35814"/>
    <w:rsid w:val="00C3655C"/>
    <w:rsid w:val="00C37B58"/>
    <w:rsid w:val="00C4041F"/>
    <w:rsid w:val="00C46C47"/>
    <w:rsid w:val="00C50D88"/>
    <w:rsid w:val="00C50D90"/>
    <w:rsid w:val="00C50EBC"/>
    <w:rsid w:val="00C5199B"/>
    <w:rsid w:val="00C535B2"/>
    <w:rsid w:val="00C54B31"/>
    <w:rsid w:val="00C5547A"/>
    <w:rsid w:val="00C55F19"/>
    <w:rsid w:val="00C56155"/>
    <w:rsid w:val="00C608A6"/>
    <w:rsid w:val="00C60E53"/>
    <w:rsid w:val="00C61A8C"/>
    <w:rsid w:val="00C6665B"/>
    <w:rsid w:val="00C703DA"/>
    <w:rsid w:val="00C719EC"/>
    <w:rsid w:val="00C72E9E"/>
    <w:rsid w:val="00C738E8"/>
    <w:rsid w:val="00C740E8"/>
    <w:rsid w:val="00C74104"/>
    <w:rsid w:val="00C74C31"/>
    <w:rsid w:val="00C7622E"/>
    <w:rsid w:val="00C77B67"/>
    <w:rsid w:val="00C8031A"/>
    <w:rsid w:val="00C80843"/>
    <w:rsid w:val="00C8371A"/>
    <w:rsid w:val="00C83928"/>
    <w:rsid w:val="00C90672"/>
    <w:rsid w:val="00C908B3"/>
    <w:rsid w:val="00C94E8F"/>
    <w:rsid w:val="00C97F26"/>
    <w:rsid w:val="00C97F6D"/>
    <w:rsid w:val="00CA0980"/>
    <w:rsid w:val="00CA396A"/>
    <w:rsid w:val="00CA3D69"/>
    <w:rsid w:val="00CA3D77"/>
    <w:rsid w:val="00CA7C1F"/>
    <w:rsid w:val="00CB0409"/>
    <w:rsid w:val="00CB0BC9"/>
    <w:rsid w:val="00CB1813"/>
    <w:rsid w:val="00CB21B8"/>
    <w:rsid w:val="00CB3E37"/>
    <w:rsid w:val="00CB66DA"/>
    <w:rsid w:val="00CB68EA"/>
    <w:rsid w:val="00CB6ED3"/>
    <w:rsid w:val="00CC2B3A"/>
    <w:rsid w:val="00CC3B1D"/>
    <w:rsid w:val="00CC478E"/>
    <w:rsid w:val="00CC668A"/>
    <w:rsid w:val="00CC6A03"/>
    <w:rsid w:val="00CD0695"/>
    <w:rsid w:val="00CD1CEA"/>
    <w:rsid w:val="00CD26F3"/>
    <w:rsid w:val="00CD2774"/>
    <w:rsid w:val="00CD2AB2"/>
    <w:rsid w:val="00CD3B83"/>
    <w:rsid w:val="00CD3DA0"/>
    <w:rsid w:val="00CD3F31"/>
    <w:rsid w:val="00CD3FDF"/>
    <w:rsid w:val="00CD5FED"/>
    <w:rsid w:val="00CD7DB4"/>
    <w:rsid w:val="00CE01C6"/>
    <w:rsid w:val="00CE4215"/>
    <w:rsid w:val="00CE4A49"/>
    <w:rsid w:val="00CE742F"/>
    <w:rsid w:val="00CF0DA1"/>
    <w:rsid w:val="00CF56E1"/>
    <w:rsid w:val="00CF636F"/>
    <w:rsid w:val="00CF67C8"/>
    <w:rsid w:val="00CF6C83"/>
    <w:rsid w:val="00CF7324"/>
    <w:rsid w:val="00CF73B9"/>
    <w:rsid w:val="00D0243E"/>
    <w:rsid w:val="00D03B9E"/>
    <w:rsid w:val="00D043EF"/>
    <w:rsid w:val="00D058DC"/>
    <w:rsid w:val="00D05F74"/>
    <w:rsid w:val="00D10DD8"/>
    <w:rsid w:val="00D10FF9"/>
    <w:rsid w:val="00D111AF"/>
    <w:rsid w:val="00D11357"/>
    <w:rsid w:val="00D118C1"/>
    <w:rsid w:val="00D13DB5"/>
    <w:rsid w:val="00D1555B"/>
    <w:rsid w:val="00D158BD"/>
    <w:rsid w:val="00D161B5"/>
    <w:rsid w:val="00D21376"/>
    <w:rsid w:val="00D21882"/>
    <w:rsid w:val="00D21DA3"/>
    <w:rsid w:val="00D2649C"/>
    <w:rsid w:val="00D2727A"/>
    <w:rsid w:val="00D278C4"/>
    <w:rsid w:val="00D304BA"/>
    <w:rsid w:val="00D32C55"/>
    <w:rsid w:val="00D32FA9"/>
    <w:rsid w:val="00D33536"/>
    <w:rsid w:val="00D3394D"/>
    <w:rsid w:val="00D36825"/>
    <w:rsid w:val="00D36A67"/>
    <w:rsid w:val="00D405D3"/>
    <w:rsid w:val="00D42076"/>
    <w:rsid w:val="00D43766"/>
    <w:rsid w:val="00D44658"/>
    <w:rsid w:val="00D45260"/>
    <w:rsid w:val="00D51885"/>
    <w:rsid w:val="00D51A58"/>
    <w:rsid w:val="00D51B78"/>
    <w:rsid w:val="00D5394A"/>
    <w:rsid w:val="00D54B22"/>
    <w:rsid w:val="00D54CC4"/>
    <w:rsid w:val="00D56CDA"/>
    <w:rsid w:val="00D61F80"/>
    <w:rsid w:val="00D622C5"/>
    <w:rsid w:val="00D6405B"/>
    <w:rsid w:val="00D64081"/>
    <w:rsid w:val="00D64290"/>
    <w:rsid w:val="00D6451B"/>
    <w:rsid w:val="00D64671"/>
    <w:rsid w:val="00D66038"/>
    <w:rsid w:val="00D6612F"/>
    <w:rsid w:val="00D715C1"/>
    <w:rsid w:val="00D721F3"/>
    <w:rsid w:val="00D7357F"/>
    <w:rsid w:val="00D73CE2"/>
    <w:rsid w:val="00D740B4"/>
    <w:rsid w:val="00D75425"/>
    <w:rsid w:val="00D763F2"/>
    <w:rsid w:val="00D812B2"/>
    <w:rsid w:val="00D81D9D"/>
    <w:rsid w:val="00D8269D"/>
    <w:rsid w:val="00D850A5"/>
    <w:rsid w:val="00D87496"/>
    <w:rsid w:val="00D87A1E"/>
    <w:rsid w:val="00D91372"/>
    <w:rsid w:val="00D91F1A"/>
    <w:rsid w:val="00D9208F"/>
    <w:rsid w:val="00D945AB"/>
    <w:rsid w:val="00DA1A0A"/>
    <w:rsid w:val="00DA1D71"/>
    <w:rsid w:val="00DA24D0"/>
    <w:rsid w:val="00DA4326"/>
    <w:rsid w:val="00DA4BD9"/>
    <w:rsid w:val="00DA5A2A"/>
    <w:rsid w:val="00DA5D90"/>
    <w:rsid w:val="00DA72D8"/>
    <w:rsid w:val="00DB127D"/>
    <w:rsid w:val="00DB27EF"/>
    <w:rsid w:val="00DB599C"/>
    <w:rsid w:val="00DB6136"/>
    <w:rsid w:val="00DB6F3A"/>
    <w:rsid w:val="00DB75D4"/>
    <w:rsid w:val="00DC01F8"/>
    <w:rsid w:val="00DC2470"/>
    <w:rsid w:val="00DC2B2F"/>
    <w:rsid w:val="00DC2E6F"/>
    <w:rsid w:val="00DC5B9B"/>
    <w:rsid w:val="00DC64A3"/>
    <w:rsid w:val="00DC6F60"/>
    <w:rsid w:val="00DC78EF"/>
    <w:rsid w:val="00DC7AE9"/>
    <w:rsid w:val="00DD0211"/>
    <w:rsid w:val="00DD0A4A"/>
    <w:rsid w:val="00DD2EAA"/>
    <w:rsid w:val="00DD3544"/>
    <w:rsid w:val="00DD3A19"/>
    <w:rsid w:val="00DD3F6A"/>
    <w:rsid w:val="00DD452B"/>
    <w:rsid w:val="00DD4A07"/>
    <w:rsid w:val="00DD6561"/>
    <w:rsid w:val="00DD6AB2"/>
    <w:rsid w:val="00DD7A57"/>
    <w:rsid w:val="00DE0956"/>
    <w:rsid w:val="00DE0A44"/>
    <w:rsid w:val="00DE5EBB"/>
    <w:rsid w:val="00DE66C7"/>
    <w:rsid w:val="00DF052D"/>
    <w:rsid w:val="00DF12ED"/>
    <w:rsid w:val="00DF15CE"/>
    <w:rsid w:val="00DF4787"/>
    <w:rsid w:val="00DF6764"/>
    <w:rsid w:val="00DF6A51"/>
    <w:rsid w:val="00E014F9"/>
    <w:rsid w:val="00E0181F"/>
    <w:rsid w:val="00E01AEB"/>
    <w:rsid w:val="00E038F0"/>
    <w:rsid w:val="00E0604A"/>
    <w:rsid w:val="00E122A2"/>
    <w:rsid w:val="00E126B3"/>
    <w:rsid w:val="00E1288B"/>
    <w:rsid w:val="00E12A38"/>
    <w:rsid w:val="00E12B48"/>
    <w:rsid w:val="00E23B26"/>
    <w:rsid w:val="00E23F91"/>
    <w:rsid w:val="00E24527"/>
    <w:rsid w:val="00E25A94"/>
    <w:rsid w:val="00E25AA4"/>
    <w:rsid w:val="00E271C6"/>
    <w:rsid w:val="00E31ADC"/>
    <w:rsid w:val="00E34EB6"/>
    <w:rsid w:val="00E3759A"/>
    <w:rsid w:val="00E429E8"/>
    <w:rsid w:val="00E42F07"/>
    <w:rsid w:val="00E43C61"/>
    <w:rsid w:val="00E454A8"/>
    <w:rsid w:val="00E45BB4"/>
    <w:rsid w:val="00E46222"/>
    <w:rsid w:val="00E519AC"/>
    <w:rsid w:val="00E530A4"/>
    <w:rsid w:val="00E53446"/>
    <w:rsid w:val="00E547DC"/>
    <w:rsid w:val="00E55777"/>
    <w:rsid w:val="00E56528"/>
    <w:rsid w:val="00E61893"/>
    <w:rsid w:val="00E637D0"/>
    <w:rsid w:val="00E63BBA"/>
    <w:rsid w:val="00E64527"/>
    <w:rsid w:val="00E66293"/>
    <w:rsid w:val="00E67539"/>
    <w:rsid w:val="00E67857"/>
    <w:rsid w:val="00E67B64"/>
    <w:rsid w:val="00E70373"/>
    <w:rsid w:val="00E70E0A"/>
    <w:rsid w:val="00E71607"/>
    <w:rsid w:val="00E73BA9"/>
    <w:rsid w:val="00E740BE"/>
    <w:rsid w:val="00E7488A"/>
    <w:rsid w:val="00E74AD5"/>
    <w:rsid w:val="00E76738"/>
    <w:rsid w:val="00E77CDB"/>
    <w:rsid w:val="00E81276"/>
    <w:rsid w:val="00E8287E"/>
    <w:rsid w:val="00E84C84"/>
    <w:rsid w:val="00E90078"/>
    <w:rsid w:val="00E930D7"/>
    <w:rsid w:val="00E93503"/>
    <w:rsid w:val="00E9404B"/>
    <w:rsid w:val="00E9571D"/>
    <w:rsid w:val="00E974ED"/>
    <w:rsid w:val="00EA08B8"/>
    <w:rsid w:val="00EA0B73"/>
    <w:rsid w:val="00EA0D86"/>
    <w:rsid w:val="00EA20FA"/>
    <w:rsid w:val="00EA2DEF"/>
    <w:rsid w:val="00EA350A"/>
    <w:rsid w:val="00EA3F3F"/>
    <w:rsid w:val="00EA3FC1"/>
    <w:rsid w:val="00EA5010"/>
    <w:rsid w:val="00EA6831"/>
    <w:rsid w:val="00EB2018"/>
    <w:rsid w:val="00EB28D6"/>
    <w:rsid w:val="00EB46ED"/>
    <w:rsid w:val="00EB5B8A"/>
    <w:rsid w:val="00EB7997"/>
    <w:rsid w:val="00EC10A8"/>
    <w:rsid w:val="00EC11AF"/>
    <w:rsid w:val="00EC346A"/>
    <w:rsid w:val="00EC523A"/>
    <w:rsid w:val="00EC56C8"/>
    <w:rsid w:val="00EC6923"/>
    <w:rsid w:val="00EC7645"/>
    <w:rsid w:val="00ED12E2"/>
    <w:rsid w:val="00ED146F"/>
    <w:rsid w:val="00ED410F"/>
    <w:rsid w:val="00ED677F"/>
    <w:rsid w:val="00ED6F7A"/>
    <w:rsid w:val="00EE06CC"/>
    <w:rsid w:val="00EE146A"/>
    <w:rsid w:val="00EE16CE"/>
    <w:rsid w:val="00EE48D4"/>
    <w:rsid w:val="00EE4E7B"/>
    <w:rsid w:val="00EE5257"/>
    <w:rsid w:val="00EE5DD8"/>
    <w:rsid w:val="00EE6102"/>
    <w:rsid w:val="00EE62A9"/>
    <w:rsid w:val="00EE643E"/>
    <w:rsid w:val="00EE6DDE"/>
    <w:rsid w:val="00EF0E4C"/>
    <w:rsid w:val="00EF2BE3"/>
    <w:rsid w:val="00EF3C0B"/>
    <w:rsid w:val="00EF3D73"/>
    <w:rsid w:val="00EF63A7"/>
    <w:rsid w:val="00EF7214"/>
    <w:rsid w:val="00EF7E1C"/>
    <w:rsid w:val="00F014B8"/>
    <w:rsid w:val="00F01F15"/>
    <w:rsid w:val="00F0219F"/>
    <w:rsid w:val="00F03271"/>
    <w:rsid w:val="00F03714"/>
    <w:rsid w:val="00F03C14"/>
    <w:rsid w:val="00F04353"/>
    <w:rsid w:val="00F06B36"/>
    <w:rsid w:val="00F06EA1"/>
    <w:rsid w:val="00F1263F"/>
    <w:rsid w:val="00F12717"/>
    <w:rsid w:val="00F1364E"/>
    <w:rsid w:val="00F167E1"/>
    <w:rsid w:val="00F16992"/>
    <w:rsid w:val="00F16BDD"/>
    <w:rsid w:val="00F16F16"/>
    <w:rsid w:val="00F17FDA"/>
    <w:rsid w:val="00F20029"/>
    <w:rsid w:val="00F20B12"/>
    <w:rsid w:val="00F20B68"/>
    <w:rsid w:val="00F211AC"/>
    <w:rsid w:val="00F215A5"/>
    <w:rsid w:val="00F22356"/>
    <w:rsid w:val="00F22CBF"/>
    <w:rsid w:val="00F25007"/>
    <w:rsid w:val="00F25DF2"/>
    <w:rsid w:val="00F26F1D"/>
    <w:rsid w:val="00F27286"/>
    <w:rsid w:val="00F275DB"/>
    <w:rsid w:val="00F30445"/>
    <w:rsid w:val="00F30EB3"/>
    <w:rsid w:val="00F31251"/>
    <w:rsid w:val="00F316C7"/>
    <w:rsid w:val="00F323C8"/>
    <w:rsid w:val="00F33761"/>
    <w:rsid w:val="00F40CBA"/>
    <w:rsid w:val="00F40E7C"/>
    <w:rsid w:val="00F43A20"/>
    <w:rsid w:val="00F446B9"/>
    <w:rsid w:val="00F45841"/>
    <w:rsid w:val="00F46569"/>
    <w:rsid w:val="00F469EC"/>
    <w:rsid w:val="00F476E2"/>
    <w:rsid w:val="00F511B6"/>
    <w:rsid w:val="00F51D39"/>
    <w:rsid w:val="00F51DA8"/>
    <w:rsid w:val="00F5272F"/>
    <w:rsid w:val="00F54337"/>
    <w:rsid w:val="00F5516E"/>
    <w:rsid w:val="00F55242"/>
    <w:rsid w:val="00F555A5"/>
    <w:rsid w:val="00F558FC"/>
    <w:rsid w:val="00F609E6"/>
    <w:rsid w:val="00F62AFA"/>
    <w:rsid w:val="00F6328D"/>
    <w:rsid w:val="00F642E4"/>
    <w:rsid w:val="00F66A3E"/>
    <w:rsid w:val="00F70103"/>
    <w:rsid w:val="00F703E8"/>
    <w:rsid w:val="00F75C19"/>
    <w:rsid w:val="00F767B8"/>
    <w:rsid w:val="00F779B3"/>
    <w:rsid w:val="00F80F46"/>
    <w:rsid w:val="00F81012"/>
    <w:rsid w:val="00F815F7"/>
    <w:rsid w:val="00F81E64"/>
    <w:rsid w:val="00F84389"/>
    <w:rsid w:val="00F857F0"/>
    <w:rsid w:val="00F91639"/>
    <w:rsid w:val="00F91FAB"/>
    <w:rsid w:val="00F93A5C"/>
    <w:rsid w:val="00F95A85"/>
    <w:rsid w:val="00F96D34"/>
    <w:rsid w:val="00F97C5F"/>
    <w:rsid w:val="00FA01B2"/>
    <w:rsid w:val="00FA02B0"/>
    <w:rsid w:val="00FA0370"/>
    <w:rsid w:val="00FA03DC"/>
    <w:rsid w:val="00FA2279"/>
    <w:rsid w:val="00FA762A"/>
    <w:rsid w:val="00FA7CAC"/>
    <w:rsid w:val="00FB27A4"/>
    <w:rsid w:val="00FB339F"/>
    <w:rsid w:val="00FB3AD2"/>
    <w:rsid w:val="00FB3B63"/>
    <w:rsid w:val="00FB3ED3"/>
    <w:rsid w:val="00FB41C9"/>
    <w:rsid w:val="00FB49E6"/>
    <w:rsid w:val="00FB501A"/>
    <w:rsid w:val="00FB630B"/>
    <w:rsid w:val="00FB641E"/>
    <w:rsid w:val="00FB7A19"/>
    <w:rsid w:val="00FC0265"/>
    <w:rsid w:val="00FC0E8A"/>
    <w:rsid w:val="00FC1E81"/>
    <w:rsid w:val="00FC3BE9"/>
    <w:rsid w:val="00FC4517"/>
    <w:rsid w:val="00FC4AAF"/>
    <w:rsid w:val="00FC523B"/>
    <w:rsid w:val="00FC5BB8"/>
    <w:rsid w:val="00FC7CD9"/>
    <w:rsid w:val="00FD018E"/>
    <w:rsid w:val="00FD2090"/>
    <w:rsid w:val="00FD2930"/>
    <w:rsid w:val="00FD601B"/>
    <w:rsid w:val="00FE099D"/>
    <w:rsid w:val="00FE1C7A"/>
    <w:rsid w:val="00FE2BF2"/>
    <w:rsid w:val="00FE2F87"/>
    <w:rsid w:val="00FE4845"/>
    <w:rsid w:val="00FE5A44"/>
    <w:rsid w:val="00FF4CA8"/>
    <w:rsid w:val="00FF5D91"/>
    <w:rsid w:val="00FF65F0"/>
    <w:rsid w:val="00FF665B"/>
    <w:rsid w:val="00FF6F62"/>
    <w:rsid w:val="00FF7B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C5219"/>
  <w15:chartTrackingRefBased/>
  <w15:docId w15:val="{3CEABE63-B416-4E11-9F50-BB989E52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DD4A07"/>
    <w:pPr>
      <w:keepNext/>
      <w:keepLines/>
      <w:spacing w:before="240" w:after="120"/>
      <w:outlineLvl w:val="0"/>
    </w:pPr>
    <w:rPr>
      <w:rFonts w:asciiTheme="minorBidi" w:eastAsiaTheme="majorEastAsia" w:hAnsiTheme="minorBidi"/>
      <w:b/>
      <w:bCs/>
      <w:sz w:val="28"/>
      <w:szCs w:val="28"/>
      <w:u w:val="single"/>
    </w:rPr>
  </w:style>
  <w:style w:type="paragraph" w:styleId="Heading2">
    <w:name w:val="heading 2"/>
    <w:basedOn w:val="Normal"/>
    <w:next w:val="Normal"/>
    <w:link w:val="Heading2Char"/>
    <w:uiPriority w:val="9"/>
    <w:unhideWhenUsed/>
    <w:qFormat/>
    <w:rsid w:val="000615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5D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s,Footnote ak,טקסט הערות שוליים תו תו תו,טקסט הערות שוליים תו תו תו תו תו תו תו תו תו תו,טקסט הערות שוליים תו Char Char Char,טקסט הערות שוליים תו Char Char,טקסט הערות שוליים תו תו Char Char,תו תו תו תו,תו תו תו תו Char,FA"/>
    <w:basedOn w:val="Normal"/>
    <w:link w:val="FootnoteTextChar"/>
    <w:unhideWhenUsed/>
    <w:rsid w:val="007A61FC"/>
    <w:pPr>
      <w:spacing w:after="0" w:line="240" w:lineRule="auto"/>
    </w:pPr>
    <w:rPr>
      <w:sz w:val="20"/>
      <w:szCs w:val="20"/>
    </w:rPr>
  </w:style>
  <w:style w:type="character" w:customStyle="1" w:styleId="FootnoteTextChar">
    <w:name w:val="Footnote Text Char"/>
    <w:aliases w:val="fn Char,Footnotes Char,Footnote ak Char,טקסט הערות שוליים תו תו תו Char,טקסט הערות שוליים תו תו תו תו תו תו תו תו תו תו Char,טקסט הערות שוליים תו Char Char Char Char,טקסט הערות שוליים תו Char Char Char1,תו תו תו תו Char1,FA Char"/>
    <w:basedOn w:val="DefaultParagraphFont"/>
    <w:link w:val="FootnoteText"/>
    <w:rsid w:val="007A61FC"/>
    <w:rPr>
      <w:sz w:val="20"/>
      <w:szCs w:val="20"/>
    </w:rPr>
  </w:style>
  <w:style w:type="character" w:styleId="FootnoteReference">
    <w:name w:val="footnote reference"/>
    <w:aliases w:val="Ref,de nota al pie"/>
    <w:basedOn w:val="DefaultParagraphFont"/>
    <w:unhideWhenUsed/>
    <w:rsid w:val="007A61FC"/>
    <w:rPr>
      <w:vertAlign w:val="superscript"/>
    </w:rPr>
  </w:style>
  <w:style w:type="character" w:styleId="CommentReference">
    <w:name w:val="annotation reference"/>
    <w:basedOn w:val="DefaultParagraphFont"/>
    <w:unhideWhenUsed/>
    <w:rsid w:val="005D121E"/>
    <w:rPr>
      <w:sz w:val="16"/>
      <w:szCs w:val="16"/>
    </w:rPr>
  </w:style>
  <w:style w:type="paragraph" w:styleId="CommentText">
    <w:name w:val="annotation text"/>
    <w:basedOn w:val="Normal"/>
    <w:link w:val="CommentTextChar"/>
    <w:unhideWhenUsed/>
    <w:rsid w:val="005D121E"/>
    <w:pPr>
      <w:spacing w:line="240" w:lineRule="auto"/>
    </w:pPr>
    <w:rPr>
      <w:sz w:val="20"/>
      <w:szCs w:val="20"/>
    </w:rPr>
  </w:style>
  <w:style w:type="character" w:customStyle="1" w:styleId="CommentTextChar">
    <w:name w:val="Comment Text Char"/>
    <w:basedOn w:val="DefaultParagraphFont"/>
    <w:link w:val="CommentText"/>
    <w:uiPriority w:val="99"/>
    <w:rsid w:val="005D121E"/>
    <w:rPr>
      <w:sz w:val="20"/>
      <w:szCs w:val="20"/>
    </w:rPr>
  </w:style>
  <w:style w:type="paragraph" w:styleId="CommentSubject">
    <w:name w:val="annotation subject"/>
    <w:basedOn w:val="CommentText"/>
    <w:next w:val="CommentText"/>
    <w:link w:val="CommentSubjectChar"/>
    <w:uiPriority w:val="99"/>
    <w:semiHidden/>
    <w:unhideWhenUsed/>
    <w:rsid w:val="005D121E"/>
    <w:rPr>
      <w:b/>
      <w:bCs/>
    </w:rPr>
  </w:style>
  <w:style w:type="character" w:customStyle="1" w:styleId="CommentSubjectChar">
    <w:name w:val="Comment Subject Char"/>
    <w:basedOn w:val="CommentTextChar"/>
    <w:link w:val="CommentSubject"/>
    <w:uiPriority w:val="99"/>
    <w:semiHidden/>
    <w:rsid w:val="005D121E"/>
    <w:rPr>
      <w:b/>
      <w:bCs/>
      <w:sz w:val="20"/>
      <w:szCs w:val="20"/>
    </w:rPr>
  </w:style>
  <w:style w:type="paragraph" w:styleId="BalloonText">
    <w:name w:val="Balloon Text"/>
    <w:basedOn w:val="Normal"/>
    <w:link w:val="BalloonTextChar"/>
    <w:uiPriority w:val="99"/>
    <w:semiHidden/>
    <w:unhideWhenUsed/>
    <w:rsid w:val="005D1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21E"/>
    <w:rPr>
      <w:rFonts w:ascii="Segoe UI" w:hAnsi="Segoe UI" w:cs="Segoe UI"/>
      <w:sz w:val="18"/>
      <w:szCs w:val="18"/>
    </w:rPr>
  </w:style>
  <w:style w:type="paragraph" w:styleId="ListParagraph">
    <w:name w:val="List Paragraph"/>
    <w:basedOn w:val="Normal"/>
    <w:uiPriority w:val="34"/>
    <w:qFormat/>
    <w:rsid w:val="00904331"/>
    <w:pPr>
      <w:ind w:left="720"/>
      <w:contextualSpacing/>
    </w:pPr>
  </w:style>
  <w:style w:type="character" w:customStyle="1" w:styleId="CommentTextChar1">
    <w:name w:val="Comment Text Char1"/>
    <w:semiHidden/>
    <w:rsid w:val="00A04A60"/>
    <w:rPr>
      <w:rFonts w:ascii="Book Antiqua" w:hAnsi="Book Antiqua"/>
      <w:szCs w:val="24"/>
      <w:lang w:bidi="ar-SA"/>
    </w:rPr>
  </w:style>
  <w:style w:type="character" w:customStyle="1" w:styleId="Heading1Char">
    <w:name w:val="Heading 1 Char"/>
    <w:basedOn w:val="DefaultParagraphFont"/>
    <w:link w:val="Heading1"/>
    <w:uiPriority w:val="9"/>
    <w:rsid w:val="00DD4A07"/>
    <w:rPr>
      <w:rFonts w:asciiTheme="minorBidi" w:eastAsiaTheme="majorEastAsia" w:hAnsiTheme="minorBidi"/>
      <w:b/>
      <w:bCs/>
      <w:sz w:val="28"/>
      <w:szCs w:val="28"/>
      <w:u w:val="single"/>
    </w:rPr>
  </w:style>
  <w:style w:type="paragraph" w:styleId="TOCHeading">
    <w:name w:val="TOC Heading"/>
    <w:basedOn w:val="Heading1"/>
    <w:next w:val="Normal"/>
    <w:uiPriority w:val="39"/>
    <w:unhideWhenUsed/>
    <w:qFormat/>
    <w:rsid w:val="00DD4A07"/>
    <w:pPr>
      <w:bidi w:val="0"/>
      <w:spacing w:after="0"/>
      <w:outlineLvl w:val="9"/>
    </w:pPr>
    <w:rPr>
      <w:rFonts w:asciiTheme="majorHAnsi" w:hAnsiTheme="majorHAnsi" w:cstheme="majorBidi"/>
      <w:b w:val="0"/>
      <w:bCs w:val="0"/>
      <w:color w:val="2F5496" w:themeColor="accent1" w:themeShade="BF"/>
      <w:sz w:val="32"/>
      <w:szCs w:val="32"/>
      <w:u w:val="none"/>
      <w:lang w:bidi="ar-SA"/>
    </w:rPr>
  </w:style>
  <w:style w:type="paragraph" w:styleId="TOC1">
    <w:name w:val="toc 1"/>
    <w:basedOn w:val="Normal"/>
    <w:next w:val="Normal"/>
    <w:autoRedefine/>
    <w:uiPriority w:val="39"/>
    <w:unhideWhenUsed/>
    <w:rsid w:val="00DD4A07"/>
    <w:pPr>
      <w:spacing w:after="100"/>
    </w:pPr>
  </w:style>
  <w:style w:type="character" w:styleId="Hyperlink">
    <w:name w:val="Hyperlink"/>
    <w:basedOn w:val="DefaultParagraphFont"/>
    <w:uiPriority w:val="99"/>
    <w:unhideWhenUsed/>
    <w:rsid w:val="00DD4A07"/>
    <w:rPr>
      <w:color w:val="0563C1" w:themeColor="hyperlink"/>
      <w:u w:val="single"/>
    </w:rPr>
  </w:style>
  <w:style w:type="character" w:styleId="FollowedHyperlink">
    <w:name w:val="FollowedHyperlink"/>
    <w:basedOn w:val="DefaultParagraphFont"/>
    <w:rsid w:val="00D75425"/>
    <w:rPr>
      <w:color w:val="800080"/>
      <w:u w:val="single"/>
    </w:rPr>
  </w:style>
  <w:style w:type="paragraph" w:styleId="Quote">
    <w:name w:val="Quote"/>
    <w:basedOn w:val="Normal"/>
    <w:next w:val="Normal"/>
    <w:link w:val="QuoteChar"/>
    <w:uiPriority w:val="29"/>
    <w:qFormat/>
    <w:rsid w:val="00F25D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25DF2"/>
    <w:rPr>
      <w:i/>
      <w:iCs/>
      <w:color w:val="404040" w:themeColor="text1" w:themeTint="BF"/>
    </w:rPr>
  </w:style>
  <w:style w:type="paragraph" w:styleId="Header">
    <w:name w:val="header"/>
    <w:basedOn w:val="Normal"/>
    <w:link w:val="HeaderChar"/>
    <w:uiPriority w:val="99"/>
    <w:unhideWhenUsed/>
    <w:rsid w:val="00C279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799F"/>
  </w:style>
  <w:style w:type="paragraph" w:styleId="Footer">
    <w:name w:val="footer"/>
    <w:basedOn w:val="Normal"/>
    <w:link w:val="FooterChar"/>
    <w:uiPriority w:val="99"/>
    <w:unhideWhenUsed/>
    <w:rsid w:val="00C279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799F"/>
  </w:style>
  <w:style w:type="character" w:customStyle="1" w:styleId="Ruller4">
    <w:name w:val="Ruller4 תו"/>
    <w:link w:val="Ruller40"/>
    <w:rsid w:val="003E4442"/>
    <w:rPr>
      <w:rFonts w:ascii="Arial TUR" w:hAnsi="Arial TUR" w:cs="Arial TUR"/>
      <w:spacing w:val="10"/>
    </w:rPr>
  </w:style>
  <w:style w:type="paragraph" w:customStyle="1" w:styleId="Ruller40">
    <w:name w:val="Ruller4"/>
    <w:basedOn w:val="Normal"/>
    <w:link w:val="Ruller4"/>
    <w:rsid w:val="003E4442"/>
    <w:pPr>
      <w:overflowPunct w:val="0"/>
      <w:autoSpaceDE w:val="0"/>
      <w:autoSpaceDN w:val="0"/>
      <w:spacing w:after="0" w:line="360" w:lineRule="auto"/>
      <w:jc w:val="both"/>
    </w:pPr>
    <w:rPr>
      <w:rFonts w:ascii="Arial TUR" w:hAnsi="Arial TUR" w:cs="Arial TUR"/>
      <w:spacing w:val="10"/>
    </w:rPr>
  </w:style>
  <w:style w:type="character" w:customStyle="1" w:styleId="Heading3Char">
    <w:name w:val="Heading 3 Char"/>
    <w:basedOn w:val="DefaultParagraphFont"/>
    <w:link w:val="Heading3"/>
    <w:uiPriority w:val="9"/>
    <w:rsid w:val="00205D9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974ED"/>
    <w:rPr>
      <w:b/>
      <w:bCs/>
    </w:rPr>
  </w:style>
  <w:style w:type="table" w:styleId="TableGrid">
    <w:name w:val="Table Grid"/>
    <w:basedOn w:val="TableNormal"/>
    <w:uiPriority w:val="39"/>
    <w:rsid w:val="0075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5514845293094689365msolistparagraph">
    <w:name w:val="gmail-m_5514845293094689365msolistparagraph"/>
    <w:basedOn w:val="Normal"/>
    <w:rsid w:val="009805F4"/>
    <w:pPr>
      <w:bidi w:val="0"/>
      <w:spacing w:before="100" w:beforeAutospacing="1" w:after="100" w:afterAutospacing="1" w:line="240" w:lineRule="auto"/>
    </w:pPr>
    <w:rPr>
      <w:rFonts w:ascii="Calibri" w:hAnsi="Calibri" w:cs="Calibri"/>
    </w:rPr>
  </w:style>
  <w:style w:type="character" w:customStyle="1" w:styleId="Hyperlink4">
    <w:name w:val="Hyperlink.4"/>
    <w:basedOn w:val="DefaultParagraphFont"/>
    <w:rsid w:val="008668CD"/>
    <w:rPr>
      <w:rFonts w:ascii="David" w:eastAsia="David" w:hAnsi="David" w:cs="David"/>
      <w:b/>
      <w:bCs/>
      <w:color w:val="0000FF"/>
      <w:sz w:val="24"/>
      <w:szCs w:val="24"/>
      <w:u w:val="single" w:color="0000FF"/>
      <w:lang w:val="he-IL" w:bidi="he-IL"/>
    </w:rPr>
  </w:style>
  <w:style w:type="character" w:customStyle="1" w:styleId="None">
    <w:name w:val="None"/>
    <w:rsid w:val="0017408E"/>
  </w:style>
  <w:style w:type="paragraph" w:styleId="BodyTextIndent">
    <w:name w:val="Body Text Indent"/>
    <w:link w:val="BodyTextIndentChar"/>
    <w:rsid w:val="0017408E"/>
    <w:pPr>
      <w:pBdr>
        <w:top w:val="nil"/>
        <w:left w:val="nil"/>
        <w:bottom w:val="nil"/>
        <w:right w:val="nil"/>
        <w:between w:val="nil"/>
        <w:bar w:val="nil"/>
      </w:pBdr>
      <w:bidi/>
      <w:spacing w:before="120" w:after="0" w:line="360" w:lineRule="auto"/>
      <w:jc w:val="both"/>
    </w:pPr>
    <w:rPr>
      <w:rFonts w:ascii="Arial Unicode MS" w:eastAsia="Arial Unicode MS" w:hAnsi="Arial Unicode MS" w:cs="Times New Roman" w:hint="cs"/>
      <w:color w:val="000000"/>
      <w:sz w:val="20"/>
      <w:szCs w:val="20"/>
      <w:u w:color="000000"/>
      <w:bdr w:val="nil"/>
    </w:rPr>
  </w:style>
  <w:style w:type="character" w:customStyle="1" w:styleId="BodyTextIndentChar">
    <w:name w:val="Body Text Indent Char"/>
    <w:basedOn w:val="DefaultParagraphFont"/>
    <w:link w:val="BodyTextIndent"/>
    <w:rsid w:val="0017408E"/>
    <w:rPr>
      <w:rFonts w:ascii="Arial Unicode MS" w:eastAsia="Arial Unicode MS" w:hAnsi="Arial Unicode MS" w:cs="Times New Roman"/>
      <w:color w:val="000000"/>
      <w:sz w:val="20"/>
      <w:szCs w:val="20"/>
      <w:u w:color="000000"/>
      <w:bdr w:val="nil"/>
    </w:rPr>
  </w:style>
  <w:style w:type="paragraph" w:customStyle="1" w:styleId="a">
    <w:name w:val="כללי"/>
    <w:basedOn w:val="Normal"/>
    <w:rsid w:val="00020E41"/>
    <w:pPr>
      <w:overflowPunct w:val="0"/>
      <w:autoSpaceDE w:val="0"/>
      <w:autoSpaceDN w:val="0"/>
      <w:adjustRightInd w:val="0"/>
      <w:spacing w:after="240" w:line="280" w:lineRule="exact"/>
      <w:ind w:firstLine="284"/>
      <w:jc w:val="both"/>
      <w:textAlignment w:val="baseline"/>
    </w:pPr>
    <w:rPr>
      <w:rFonts w:ascii="Times New Roman" w:eastAsia="Times New Roman" w:hAnsi="Times New Roman" w:cs="FrankRuehl"/>
      <w:sz w:val="20"/>
      <w:szCs w:val="24"/>
      <w:lang w:eastAsia="he-IL"/>
    </w:rPr>
  </w:style>
  <w:style w:type="character" w:customStyle="1" w:styleId="intensereference">
    <w:name w:val="intensereference"/>
    <w:rsid w:val="00020E41"/>
  </w:style>
  <w:style w:type="paragraph" w:styleId="IntenseQuote">
    <w:name w:val="Intense Quote"/>
    <w:basedOn w:val="Normal"/>
    <w:next w:val="Normal"/>
    <w:link w:val="IntenseQuoteChar"/>
    <w:uiPriority w:val="30"/>
    <w:qFormat/>
    <w:rsid w:val="00020E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E41"/>
    <w:rPr>
      <w:i/>
      <w:iCs/>
      <w:color w:val="4472C4" w:themeColor="accent1"/>
    </w:rPr>
  </w:style>
  <w:style w:type="paragraph" w:customStyle="1" w:styleId="a0">
    <w:name w:val="a0"/>
    <w:basedOn w:val="Normal"/>
    <w:rsid w:val="00E530A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20B0"/>
    <w:pPr>
      <w:spacing w:after="0" w:line="240" w:lineRule="auto"/>
      <w:jc w:val="center"/>
    </w:pPr>
    <w:rPr>
      <w:rFonts w:ascii="Times New Roman" w:eastAsia="Times New Roman" w:hAnsi="Times New Roman" w:cs="Times New Roman"/>
      <w:b/>
      <w:bCs/>
      <w:sz w:val="28"/>
      <w:szCs w:val="28"/>
      <w:u w:val="single"/>
      <w:lang w:eastAsia="he-IL"/>
    </w:rPr>
  </w:style>
  <w:style w:type="character" w:customStyle="1" w:styleId="TitleChar">
    <w:name w:val="Title Char"/>
    <w:basedOn w:val="DefaultParagraphFont"/>
    <w:link w:val="Title"/>
    <w:rsid w:val="00A320B0"/>
    <w:rPr>
      <w:rFonts w:ascii="Times New Roman" w:eastAsia="Times New Roman" w:hAnsi="Times New Roman" w:cs="Times New Roman"/>
      <w:b/>
      <w:bCs/>
      <w:sz w:val="28"/>
      <w:szCs w:val="28"/>
      <w:u w:val="single"/>
      <w:lang w:eastAsia="he-IL"/>
    </w:rPr>
  </w:style>
  <w:style w:type="character" w:customStyle="1" w:styleId="Heading2Char">
    <w:name w:val="Heading 2 Char"/>
    <w:basedOn w:val="DefaultParagraphFont"/>
    <w:link w:val="Heading2"/>
    <w:uiPriority w:val="9"/>
    <w:rsid w:val="000615D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21376"/>
    <w:pPr>
      <w:tabs>
        <w:tab w:val="right" w:leader="dot" w:pos="8296"/>
      </w:tabs>
      <w:spacing w:after="100"/>
      <w:ind w:left="220"/>
    </w:pPr>
  </w:style>
  <w:style w:type="paragraph" w:customStyle="1" w:styleId="TableText">
    <w:name w:val="Table Text"/>
    <w:basedOn w:val="Normal"/>
    <w:uiPriority w:val="99"/>
    <w:rsid w:val="005E45EE"/>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5E45EE"/>
  </w:style>
  <w:style w:type="paragraph" w:customStyle="1" w:styleId="TableBlock">
    <w:name w:val="Table Block"/>
    <w:basedOn w:val="TableText"/>
    <w:uiPriority w:val="99"/>
    <w:rsid w:val="005E45EE"/>
    <w:pPr>
      <w:ind w:right="0"/>
      <w:jc w:val="both"/>
    </w:pPr>
  </w:style>
  <w:style w:type="paragraph" w:styleId="NormalWeb">
    <w:name w:val="Normal (Web)"/>
    <w:basedOn w:val="Normal"/>
    <w:uiPriority w:val="99"/>
    <w:semiHidden/>
    <w:unhideWhenUsed/>
    <w:rsid w:val="00C152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B12C6"/>
    <w:pPr>
      <w:spacing w:after="0" w:line="240" w:lineRule="auto"/>
    </w:pPr>
  </w:style>
  <w:style w:type="character" w:styleId="Emphasis">
    <w:name w:val="Emphasis"/>
    <w:basedOn w:val="DefaultParagraphFont"/>
    <w:uiPriority w:val="20"/>
    <w:qFormat/>
    <w:rsid w:val="00AD520A"/>
    <w:rPr>
      <w:i/>
      <w:iCs/>
    </w:rPr>
  </w:style>
  <w:style w:type="character" w:customStyle="1" w:styleId="apple-style-span">
    <w:name w:val="apple-style-span"/>
    <w:basedOn w:val="DefaultParagraphFont"/>
    <w:rsid w:val="00204CDD"/>
  </w:style>
  <w:style w:type="character" w:customStyle="1" w:styleId="apple-converted-space">
    <w:name w:val="apple-converted-space"/>
    <w:basedOn w:val="DefaultParagraphFont"/>
    <w:rsid w:val="00204CDD"/>
  </w:style>
  <w:style w:type="character" w:customStyle="1" w:styleId="UnresolvedMention1">
    <w:name w:val="Unresolved Mention1"/>
    <w:basedOn w:val="DefaultParagraphFont"/>
    <w:uiPriority w:val="99"/>
    <w:semiHidden/>
    <w:unhideWhenUsed/>
    <w:rsid w:val="00CF6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15">
      <w:bodyDiv w:val="1"/>
      <w:marLeft w:val="0"/>
      <w:marRight w:val="0"/>
      <w:marTop w:val="0"/>
      <w:marBottom w:val="0"/>
      <w:divBdr>
        <w:top w:val="none" w:sz="0" w:space="0" w:color="auto"/>
        <w:left w:val="none" w:sz="0" w:space="0" w:color="auto"/>
        <w:bottom w:val="none" w:sz="0" w:space="0" w:color="auto"/>
        <w:right w:val="none" w:sz="0" w:space="0" w:color="auto"/>
      </w:divBdr>
    </w:div>
    <w:div w:id="175971974">
      <w:bodyDiv w:val="1"/>
      <w:marLeft w:val="0"/>
      <w:marRight w:val="0"/>
      <w:marTop w:val="0"/>
      <w:marBottom w:val="0"/>
      <w:divBdr>
        <w:top w:val="none" w:sz="0" w:space="0" w:color="auto"/>
        <w:left w:val="none" w:sz="0" w:space="0" w:color="auto"/>
        <w:bottom w:val="none" w:sz="0" w:space="0" w:color="auto"/>
        <w:right w:val="none" w:sz="0" w:space="0" w:color="auto"/>
      </w:divBdr>
    </w:div>
    <w:div w:id="335153865">
      <w:bodyDiv w:val="1"/>
      <w:marLeft w:val="0"/>
      <w:marRight w:val="0"/>
      <w:marTop w:val="0"/>
      <w:marBottom w:val="0"/>
      <w:divBdr>
        <w:top w:val="none" w:sz="0" w:space="0" w:color="auto"/>
        <w:left w:val="none" w:sz="0" w:space="0" w:color="auto"/>
        <w:bottom w:val="none" w:sz="0" w:space="0" w:color="auto"/>
        <w:right w:val="none" w:sz="0" w:space="0" w:color="auto"/>
      </w:divBdr>
    </w:div>
    <w:div w:id="473371468">
      <w:bodyDiv w:val="1"/>
      <w:marLeft w:val="0"/>
      <w:marRight w:val="0"/>
      <w:marTop w:val="0"/>
      <w:marBottom w:val="0"/>
      <w:divBdr>
        <w:top w:val="none" w:sz="0" w:space="0" w:color="auto"/>
        <w:left w:val="none" w:sz="0" w:space="0" w:color="auto"/>
        <w:bottom w:val="none" w:sz="0" w:space="0" w:color="auto"/>
        <w:right w:val="none" w:sz="0" w:space="0" w:color="auto"/>
      </w:divBdr>
    </w:div>
    <w:div w:id="761995960">
      <w:bodyDiv w:val="1"/>
      <w:marLeft w:val="0"/>
      <w:marRight w:val="0"/>
      <w:marTop w:val="0"/>
      <w:marBottom w:val="0"/>
      <w:divBdr>
        <w:top w:val="none" w:sz="0" w:space="0" w:color="auto"/>
        <w:left w:val="none" w:sz="0" w:space="0" w:color="auto"/>
        <w:bottom w:val="none" w:sz="0" w:space="0" w:color="auto"/>
        <w:right w:val="none" w:sz="0" w:space="0" w:color="auto"/>
      </w:divBdr>
      <w:divsChild>
        <w:div w:id="1057052936">
          <w:marLeft w:val="0"/>
          <w:marRight w:val="1166"/>
          <w:marTop w:val="86"/>
          <w:marBottom w:val="0"/>
          <w:divBdr>
            <w:top w:val="none" w:sz="0" w:space="0" w:color="auto"/>
            <w:left w:val="none" w:sz="0" w:space="0" w:color="auto"/>
            <w:bottom w:val="none" w:sz="0" w:space="0" w:color="auto"/>
            <w:right w:val="none" w:sz="0" w:space="0" w:color="auto"/>
          </w:divBdr>
        </w:div>
      </w:divsChild>
    </w:div>
    <w:div w:id="795221516">
      <w:bodyDiv w:val="1"/>
      <w:marLeft w:val="0"/>
      <w:marRight w:val="0"/>
      <w:marTop w:val="0"/>
      <w:marBottom w:val="0"/>
      <w:divBdr>
        <w:top w:val="none" w:sz="0" w:space="0" w:color="auto"/>
        <w:left w:val="none" w:sz="0" w:space="0" w:color="auto"/>
        <w:bottom w:val="none" w:sz="0" w:space="0" w:color="auto"/>
        <w:right w:val="none" w:sz="0" w:space="0" w:color="auto"/>
      </w:divBdr>
    </w:div>
    <w:div w:id="835459403">
      <w:bodyDiv w:val="1"/>
      <w:marLeft w:val="0"/>
      <w:marRight w:val="0"/>
      <w:marTop w:val="0"/>
      <w:marBottom w:val="0"/>
      <w:divBdr>
        <w:top w:val="none" w:sz="0" w:space="0" w:color="auto"/>
        <w:left w:val="none" w:sz="0" w:space="0" w:color="auto"/>
        <w:bottom w:val="none" w:sz="0" w:space="0" w:color="auto"/>
        <w:right w:val="none" w:sz="0" w:space="0" w:color="auto"/>
      </w:divBdr>
    </w:div>
    <w:div w:id="877739381">
      <w:bodyDiv w:val="1"/>
      <w:marLeft w:val="0"/>
      <w:marRight w:val="0"/>
      <w:marTop w:val="0"/>
      <w:marBottom w:val="0"/>
      <w:divBdr>
        <w:top w:val="none" w:sz="0" w:space="0" w:color="auto"/>
        <w:left w:val="none" w:sz="0" w:space="0" w:color="auto"/>
        <w:bottom w:val="none" w:sz="0" w:space="0" w:color="auto"/>
        <w:right w:val="none" w:sz="0" w:space="0" w:color="auto"/>
      </w:divBdr>
    </w:div>
    <w:div w:id="884803309">
      <w:bodyDiv w:val="1"/>
      <w:marLeft w:val="0"/>
      <w:marRight w:val="0"/>
      <w:marTop w:val="0"/>
      <w:marBottom w:val="0"/>
      <w:divBdr>
        <w:top w:val="none" w:sz="0" w:space="0" w:color="auto"/>
        <w:left w:val="none" w:sz="0" w:space="0" w:color="auto"/>
        <w:bottom w:val="none" w:sz="0" w:space="0" w:color="auto"/>
        <w:right w:val="none" w:sz="0" w:space="0" w:color="auto"/>
      </w:divBdr>
    </w:div>
    <w:div w:id="911934780">
      <w:bodyDiv w:val="1"/>
      <w:marLeft w:val="0"/>
      <w:marRight w:val="0"/>
      <w:marTop w:val="0"/>
      <w:marBottom w:val="0"/>
      <w:divBdr>
        <w:top w:val="none" w:sz="0" w:space="0" w:color="auto"/>
        <w:left w:val="none" w:sz="0" w:space="0" w:color="auto"/>
        <w:bottom w:val="none" w:sz="0" w:space="0" w:color="auto"/>
        <w:right w:val="none" w:sz="0" w:space="0" w:color="auto"/>
      </w:divBdr>
    </w:div>
    <w:div w:id="1008679188">
      <w:bodyDiv w:val="1"/>
      <w:marLeft w:val="0"/>
      <w:marRight w:val="0"/>
      <w:marTop w:val="0"/>
      <w:marBottom w:val="0"/>
      <w:divBdr>
        <w:top w:val="none" w:sz="0" w:space="0" w:color="auto"/>
        <w:left w:val="none" w:sz="0" w:space="0" w:color="auto"/>
        <w:bottom w:val="none" w:sz="0" w:space="0" w:color="auto"/>
        <w:right w:val="none" w:sz="0" w:space="0" w:color="auto"/>
      </w:divBdr>
    </w:div>
    <w:div w:id="1168525039">
      <w:bodyDiv w:val="1"/>
      <w:marLeft w:val="0"/>
      <w:marRight w:val="0"/>
      <w:marTop w:val="0"/>
      <w:marBottom w:val="0"/>
      <w:divBdr>
        <w:top w:val="none" w:sz="0" w:space="0" w:color="auto"/>
        <w:left w:val="none" w:sz="0" w:space="0" w:color="auto"/>
        <w:bottom w:val="none" w:sz="0" w:space="0" w:color="auto"/>
        <w:right w:val="none" w:sz="0" w:space="0" w:color="auto"/>
      </w:divBdr>
    </w:div>
    <w:div w:id="1294750107">
      <w:bodyDiv w:val="1"/>
      <w:marLeft w:val="0"/>
      <w:marRight w:val="0"/>
      <w:marTop w:val="0"/>
      <w:marBottom w:val="0"/>
      <w:divBdr>
        <w:top w:val="none" w:sz="0" w:space="0" w:color="auto"/>
        <w:left w:val="none" w:sz="0" w:space="0" w:color="auto"/>
        <w:bottom w:val="none" w:sz="0" w:space="0" w:color="auto"/>
        <w:right w:val="none" w:sz="0" w:space="0" w:color="auto"/>
      </w:divBdr>
    </w:div>
    <w:div w:id="1340500258">
      <w:bodyDiv w:val="1"/>
      <w:marLeft w:val="0"/>
      <w:marRight w:val="0"/>
      <w:marTop w:val="0"/>
      <w:marBottom w:val="0"/>
      <w:divBdr>
        <w:top w:val="none" w:sz="0" w:space="0" w:color="auto"/>
        <w:left w:val="none" w:sz="0" w:space="0" w:color="auto"/>
        <w:bottom w:val="none" w:sz="0" w:space="0" w:color="auto"/>
        <w:right w:val="none" w:sz="0" w:space="0" w:color="auto"/>
      </w:divBdr>
    </w:div>
    <w:div w:id="1463842572">
      <w:bodyDiv w:val="1"/>
      <w:marLeft w:val="0"/>
      <w:marRight w:val="0"/>
      <w:marTop w:val="0"/>
      <w:marBottom w:val="0"/>
      <w:divBdr>
        <w:top w:val="none" w:sz="0" w:space="0" w:color="auto"/>
        <w:left w:val="none" w:sz="0" w:space="0" w:color="auto"/>
        <w:bottom w:val="none" w:sz="0" w:space="0" w:color="auto"/>
        <w:right w:val="none" w:sz="0" w:space="0" w:color="auto"/>
      </w:divBdr>
      <w:divsChild>
        <w:div w:id="1389842473">
          <w:marLeft w:val="0"/>
          <w:marRight w:val="1166"/>
          <w:marTop w:val="96"/>
          <w:marBottom w:val="0"/>
          <w:divBdr>
            <w:top w:val="none" w:sz="0" w:space="0" w:color="auto"/>
            <w:left w:val="none" w:sz="0" w:space="0" w:color="auto"/>
            <w:bottom w:val="none" w:sz="0" w:space="0" w:color="auto"/>
            <w:right w:val="none" w:sz="0" w:space="0" w:color="auto"/>
          </w:divBdr>
        </w:div>
      </w:divsChild>
    </w:div>
    <w:div w:id="1553686219">
      <w:bodyDiv w:val="1"/>
      <w:marLeft w:val="0"/>
      <w:marRight w:val="0"/>
      <w:marTop w:val="0"/>
      <w:marBottom w:val="0"/>
      <w:divBdr>
        <w:top w:val="none" w:sz="0" w:space="0" w:color="auto"/>
        <w:left w:val="none" w:sz="0" w:space="0" w:color="auto"/>
        <w:bottom w:val="none" w:sz="0" w:space="0" w:color="auto"/>
        <w:right w:val="none" w:sz="0" w:space="0" w:color="auto"/>
      </w:divBdr>
      <w:divsChild>
        <w:div w:id="1759516115">
          <w:marLeft w:val="0"/>
          <w:marRight w:val="1166"/>
          <w:marTop w:val="86"/>
          <w:marBottom w:val="0"/>
          <w:divBdr>
            <w:top w:val="none" w:sz="0" w:space="0" w:color="auto"/>
            <w:left w:val="none" w:sz="0" w:space="0" w:color="auto"/>
            <w:bottom w:val="none" w:sz="0" w:space="0" w:color="auto"/>
            <w:right w:val="none" w:sz="0" w:space="0" w:color="auto"/>
          </w:divBdr>
        </w:div>
      </w:divsChild>
    </w:div>
    <w:div w:id="1566407232">
      <w:bodyDiv w:val="1"/>
      <w:marLeft w:val="0"/>
      <w:marRight w:val="0"/>
      <w:marTop w:val="0"/>
      <w:marBottom w:val="0"/>
      <w:divBdr>
        <w:top w:val="none" w:sz="0" w:space="0" w:color="auto"/>
        <w:left w:val="none" w:sz="0" w:space="0" w:color="auto"/>
        <w:bottom w:val="none" w:sz="0" w:space="0" w:color="auto"/>
        <w:right w:val="none" w:sz="0" w:space="0" w:color="auto"/>
      </w:divBdr>
    </w:div>
    <w:div w:id="1631861129">
      <w:bodyDiv w:val="1"/>
      <w:marLeft w:val="0"/>
      <w:marRight w:val="0"/>
      <w:marTop w:val="0"/>
      <w:marBottom w:val="0"/>
      <w:divBdr>
        <w:top w:val="none" w:sz="0" w:space="0" w:color="auto"/>
        <w:left w:val="none" w:sz="0" w:space="0" w:color="auto"/>
        <w:bottom w:val="none" w:sz="0" w:space="0" w:color="auto"/>
        <w:right w:val="none" w:sz="0" w:space="0" w:color="auto"/>
      </w:divBdr>
    </w:div>
    <w:div w:id="1830058317">
      <w:bodyDiv w:val="1"/>
      <w:marLeft w:val="0"/>
      <w:marRight w:val="0"/>
      <w:marTop w:val="0"/>
      <w:marBottom w:val="0"/>
      <w:divBdr>
        <w:top w:val="none" w:sz="0" w:space="0" w:color="auto"/>
        <w:left w:val="none" w:sz="0" w:space="0" w:color="auto"/>
        <w:bottom w:val="none" w:sz="0" w:space="0" w:color="auto"/>
        <w:right w:val="none" w:sz="0" w:space="0" w:color="auto"/>
      </w:divBdr>
    </w:div>
    <w:div w:id="1884899119">
      <w:bodyDiv w:val="1"/>
      <w:marLeft w:val="0"/>
      <w:marRight w:val="0"/>
      <w:marTop w:val="0"/>
      <w:marBottom w:val="0"/>
      <w:divBdr>
        <w:top w:val="none" w:sz="0" w:space="0" w:color="auto"/>
        <w:left w:val="none" w:sz="0" w:space="0" w:color="auto"/>
        <w:bottom w:val="none" w:sz="0" w:space="0" w:color="auto"/>
        <w:right w:val="none" w:sz="0" w:space="0" w:color="auto"/>
      </w:divBdr>
    </w:div>
    <w:div w:id="1913850486">
      <w:bodyDiv w:val="1"/>
      <w:marLeft w:val="0"/>
      <w:marRight w:val="0"/>
      <w:marTop w:val="0"/>
      <w:marBottom w:val="0"/>
      <w:divBdr>
        <w:top w:val="none" w:sz="0" w:space="0" w:color="auto"/>
        <w:left w:val="none" w:sz="0" w:space="0" w:color="auto"/>
        <w:bottom w:val="none" w:sz="0" w:space="0" w:color="auto"/>
        <w:right w:val="none" w:sz="0" w:space="0" w:color="auto"/>
      </w:divBdr>
    </w:div>
    <w:div w:id="20905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nevo.co.il/case/573918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805D-CF91-4224-A2C8-BC8EB6EE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9261</Words>
  <Characters>46306</Characters>
  <Application>Microsoft Office Word</Application>
  <DocSecurity>0</DocSecurity>
  <Lines>385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Ofer Tur-Sinai</dc:creator>
  <cp:keywords/>
  <dc:description/>
  <cp:lastModifiedBy>Ofer Tur-Sinai</cp:lastModifiedBy>
  <cp:revision>3</cp:revision>
  <cp:lastPrinted>2020-01-06T13:17:00Z</cp:lastPrinted>
  <dcterms:created xsi:type="dcterms:W3CDTF">2020-05-05T07:48:00Z</dcterms:created>
  <dcterms:modified xsi:type="dcterms:W3CDTF">2020-05-05T07:49:00Z</dcterms:modified>
</cp:coreProperties>
</file>